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E4" w:rsidRDefault="008728E4" w:rsidP="008728E4">
      <w:pPr>
        <w:spacing w:before="156" w:after="156"/>
        <w:ind w:firstLine="315"/>
        <w:jc w:val="center"/>
      </w:pPr>
      <w:r>
        <w:rPr>
          <w:rFonts w:hint="eastAsia"/>
        </w:rPr>
        <w:t>资产评估收费标准</w:t>
      </w:r>
    </w:p>
    <w:p w:rsidR="008728E4" w:rsidRDefault="008728E4" w:rsidP="008728E4">
      <w:pPr>
        <w:spacing w:before="156" w:after="156"/>
        <w:ind w:firstLine="315"/>
      </w:pPr>
      <w:r>
        <w:rPr>
          <w:rFonts w:hint="eastAsia"/>
        </w:rPr>
        <w:t>关于贯彻实施《资产评估收费管理办法》尽快做好资产评估收费管理工作的通知</w:t>
      </w:r>
    </w:p>
    <w:p w:rsidR="008728E4" w:rsidRDefault="008728E4" w:rsidP="008728E4">
      <w:pPr>
        <w:spacing w:before="156" w:after="156"/>
        <w:ind w:firstLine="315"/>
      </w:pPr>
      <w:r>
        <w:t xml:space="preserve"> </w:t>
      </w:r>
    </w:p>
    <w:p w:rsidR="008728E4" w:rsidRDefault="008728E4" w:rsidP="008728E4">
      <w:pPr>
        <w:spacing w:before="156" w:after="156"/>
        <w:ind w:firstLine="315"/>
      </w:pPr>
      <w:r>
        <w:rPr>
          <w:rFonts w:hint="eastAsia"/>
        </w:rPr>
        <w:t>中评协</w:t>
      </w:r>
      <w:r>
        <w:rPr>
          <w:rFonts w:hint="eastAsia"/>
        </w:rPr>
        <w:t>[2009]199</w:t>
      </w:r>
      <w:r>
        <w:rPr>
          <w:rFonts w:hint="eastAsia"/>
        </w:rPr>
        <w:t>号</w:t>
      </w:r>
    </w:p>
    <w:p w:rsidR="008728E4" w:rsidRDefault="008728E4" w:rsidP="008728E4">
      <w:pPr>
        <w:spacing w:before="156" w:after="156"/>
        <w:ind w:firstLine="315"/>
      </w:pPr>
      <w:r>
        <w:rPr>
          <w:rFonts w:hint="eastAsia"/>
        </w:rPr>
        <w:t>各省、自治区、直辖市、计划单列市资产评估协会（注册会计师协会）：</w:t>
      </w:r>
    </w:p>
    <w:p w:rsidR="008728E4" w:rsidRDefault="008728E4" w:rsidP="008728E4">
      <w:pPr>
        <w:spacing w:before="156" w:after="156"/>
        <w:ind w:firstLine="315"/>
      </w:pPr>
      <w:r>
        <w:rPr>
          <w:rFonts w:hint="eastAsia"/>
        </w:rPr>
        <w:t>为规范资产评估收费行为，维护社会公共利益和当事人的合法权益，促进资产评估行业健康发展，国家发展改革委、财政部联合发布了《资产评估收费管理办法》（发改价格</w:t>
      </w:r>
      <w:r>
        <w:rPr>
          <w:rFonts w:hint="eastAsia"/>
        </w:rPr>
        <w:t>[2009]2914</w:t>
      </w:r>
      <w:r>
        <w:rPr>
          <w:rFonts w:hint="eastAsia"/>
        </w:rPr>
        <w:t>号）。为贯彻执行《资产评估收费管理办法》，做好资产评估收费管理有关工作，现将有关事项通知如下：</w:t>
      </w:r>
    </w:p>
    <w:p w:rsidR="008728E4" w:rsidRDefault="008728E4" w:rsidP="008728E4">
      <w:pPr>
        <w:spacing w:before="156" w:after="156"/>
        <w:ind w:firstLine="315"/>
      </w:pPr>
      <w:r>
        <w:rPr>
          <w:rFonts w:hint="eastAsia"/>
        </w:rPr>
        <w:t>一、高度重视，积极配合。国家发展改革委、财政部联合发布的《资产评估收费管理办法》是资产评估收费制度的重大改革。按规定收费关乎评估报告质量和评估行业健康发展，关乎国家财产和经济安全。各地方协会要高度重视，积极配合省级财政部门、价格主管部门做好资产评估收费管理相关工作。</w:t>
      </w:r>
    </w:p>
    <w:p w:rsidR="008728E4" w:rsidRDefault="008728E4" w:rsidP="008728E4">
      <w:pPr>
        <w:spacing w:before="156" w:after="156"/>
        <w:ind w:firstLine="315"/>
      </w:pPr>
      <w:r>
        <w:rPr>
          <w:rFonts w:hint="eastAsia"/>
        </w:rPr>
        <w:t>二、测定标准，统一参照。为了给各地制定具体的评估收费标准提供参考依据，我会通过对全国资产评估行业收费情况的两次调查分析，并查阅国家统计局公布的</w:t>
      </w:r>
      <w:r>
        <w:rPr>
          <w:rFonts w:hint="eastAsia"/>
        </w:rPr>
        <w:t>1992</w:t>
      </w:r>
      <w:r>
        <w:rPr>
          <w:rFonts w:hint="eastAsia"/>
        </w:rPr>
        <w:t>至</w:t>
      </w:r>
      <w:r>
        <w:rPr>
          <w:rFonts w:hint="eastAsia"/>
        </w:rPr>
        <w:t>2008</w:t>
      </w:r>
      <w:r>
        <w:rPr>
          <w:rFonts w:hint="eastAsia"/>
        </w:rPr>
        <w:t>年各年的通货膨胀率，结合今后几年内经济增长、物价指数继续上涨，并参照注册会计师、律师等中介行业的收费标准等因素，提出了资产评估收费水平的测算标准</w:t>
      </w:r>
      <w:r>
        <w:rPr>
          <w:rFonts w:hint="eastAsia"/>
        </w:rPr>
        <w:t>:</w:t>
      </w:r>
    </w:p>
    <w:p w:rsidR="008728E4" w:rsidRDefault="008728E4" w:rsidP="008728E4">
      <w:pPr>
        <w:spacing w:before="156" w:after="156"/>
        <w:ind w:firstLine="315"/>
      </w:pPr>
      <w:r>
        <w:rPr>
          <w:rFonts w:hint="eastAsia"/>
        </w:rPr>
        <w:t>（一）计件收费</w:t>
      </w:r>
    </w:p>
    <w:p w:rsidR="008728E4" w:rsidRDefault="008728E4" w:rsidP="008728E4">
      <w:pPr>
        <w:spacing w:before="156" w:after="156"/>
        <w:ind w:firstLine="315"/>
      </w:pPr>
      <w:r>
        <w:rPr>
          <w:rFonts w:hint="eastAsia"/>
        </w:rPr>
        <w:t>计件收费平均标准分为六档，各档差额计费率如下表：</w:t>
      </w:r>
      <w:r>
        <w:rPr>
          <w:rFonts w:hint="eastAsia"/>
        </w:rPr>
        <w:t xml:space="preserve">      </w:t>
      </w:r>
    </w:p>
    <w:p w:rsidR="008728E4" w:rsidRDefault="008728E4" w:rsidP="008728E4">
      <w:pPr>
        <w:spacing w:before="156" w:after="156"/>
        <w:ind w:firstLine="315"/>
      </w:pPr>
      <w:r>
        <w:rPr>
          <w:rFonts w:hint="eastAsia"/>
        </w:rPr>
        <w:t xml:space="preserve"> </w:t>
      </w:r>
      <w:r>
        <w:rPr>
          <w:rFonts w:hint="eastAsia"/>
        </w:rPr>
        <w:t>差额定率累进收费表</w:t>
      </w:r>
    </w:p>
    <w:p w:rsidR="008728E4" w:rsidRDefault="008728E4" w:rsidP="008728E4">
      <w:pPr>
        <w:spacing w:before="156" w:after="156"/>
        <w:ind w:firstLine="315"/>
      </w:pPr>
      <w:r>
        <w:rPr>
          <w:rFonts w:hint="eastAsia"/>
        </w:rPr>
        <w:t>档次</w:t>
      </w:r>
      <w:r>
        <w:rPr>
          <w:rFonts w:hint="eastAsia"/>
        </w:rPr>
        <w:tab/>
        <w:t xml:space="preserve"> </w:t>
      </w:r>
      <w:r>
        <w:rPr>
          <w:rFonts w:hint="eastAsia"/>
        </w:rPr>
        <w:t>计费额度（万元）</w:t>
      </w:r>
      <w:r>
        <w:rPr>
          <w:rFonts w:hint="eastAsia"/>
        </w:rPr>
        <w:tab/>
      </w:r>
      <w:r w:rsidR="00156511">
        <w:rPr>
          <w:rFonts w:hint="eastAsia"/>
        </w:rPr>
        <w:t xml:space="preserve">           </w:t>
      </w:r>
      <w:r>
        <w:rPr>
          <w:rFonts w:hint="eastAsia"/>
        </w:rPr>
        <w:t xml:space="preserve"> </w:t>
      </w:r>
      <w:r>
        <w:rPr>
          <w:rFonts w:hint="eastAsia"/>
        </w:rPr>
        <w:t>差额计费率‰</w:t>
      </w:r>
      <w:r>
        <w:rPr>
          <w:rFonts w:hint="eastAsia"/>
        </w:rPr>
        <w:tab/>
        <w:t xml:space="preserve"> </w:t>
      </w:r>
      <w:r w:rsidR="00156511">
        <w:rPr>
          <w:rFonts w:hint="eastAsia"/>
        </w:rPr>
        <w:t xml:space="preserve">                  </w:t>
      </w:r>
      <w:r>
        <w:rPr>
          <w:rFonts w:hint="eastAsia"/>
        </w:rPr>
        <w:t>万元</w:t>
      </w:r>
    </w:p>
    <w:p w:rsidR="008728E4" w:rsidRDefault="008728E4" w:rsidP="008728E4">
      <w:pPr>
        <w:spacing w:before="156" w:after="156"/>
        <w:ind w:firstLine="315"/>
      </w:pPr>
      <w:r>
        <w:rPr>
          <w:rFonts w:hint="eastAsia"/>
        </w:rPr>
        <w:t>1</w:t>
      </w:r>
      <w:r>
        <w:rPr>
          <w:rFonts w:hint="eastAsia"/>
        </w:rPr>
        <w:tab/>
        <w:t xml:space="preserve"> 100</w:t>
      </w:r>
      <w:r>
        <w:rPr>
          <w:rFonts w:hint="eastAsia"/>
        </w:rPr>
        <w:t>以下（含</w:t>
      </w:r>
      <w:r>
        <w:rPr>
          <w:rFonts w:hint="eastAsia"/>
        </w:rPr>
        <w:t>100</w:t>
      </w:r>
      <w:r>
        <w:rPr>
          <w:rFonts w:hint="eastAsia"/>
        </w:rPr>
        <w:t>）</w:t>
      </w:r>
      <w:r>
        <w:rPr>
          <w:rFonts w:hint="eastAsia"/>
        </w:rPr>
        <w:tab/>
      </w:r>
      <w:r w:rsidR="00156511">
        <w:rPr>
          <w:rFonts w:hint="eastAsia"/>
        </w:rPr>
        <w:t xml:space="preserve">             </w:t>
      </w:r>
      <w:r>
        <w:rPr>
          <w:rFonts w:hint="eastAsia"/>
        </w:rPr>
        <w:t xml:space="preserve"> 9-15</w:t>
      </w:r>
      <w:r>
        <w:rPr>
          <w:rFonts w:hint="eastAsia"/>
        </w:rPr>
        <w:tab/>
      </w:r>
      <w:r w:rsidR="00156511">
        <w:rPr>
          <w:rFonts w:hint="eastAsia"/>
        </w:rPr>
        <w:t xml:space="preserve">                       </w:t>
      </w:r>
      <w:r>
        <w:rPr>
          <w:rFonts w:hint="eastAsia"/>
        </w:rPr>
        <w:t xml:space="preserve"> 0.9-1.5</w:t>
      </w:r>
    </w:p>
    <w:p w:rsidR="008728E4" w:rsidRDefault="008728E4" w:rsidP="008728E4">
      <w:pPr>
        <w:spacing w:before="156" w:after="156"/>
        <w:ind w:firstLine="315"/>
      </w:pPr>
      <w:r>
        <w:rPr>
          <w:rFonts w:hint="eastAsia"/>
        </w:rPr>
        <w:t>2</w:t>
      </w:r>
      <w:r>
        <w:rPr>
          <w:rFonts w:hint="eastAsia"/>
        </w:rPr>
        <w:tab/>
        <w:t xml:space="preserve"> 100</w:t>
      </w:r>
      <w:r>
        <w:rPr>
          <w:rFonts w:hint="eastAsia"/>
        </w:rPr>
        <w:t>以上～</w:t>
      </w:r>
      <w:r>
        <w:rPr>
          <w:rFonts w:hint="eastAsia"/>
        </w:rPr>
        <w:t>1000</w:t>
      </w:r>
      <w:r>
        <w:rPr>
          <w:rFonts w:hint="eastAsia"/>
        </w:rPr>
        <w:t>（含</w:t>
      </w:r>
      <w:r>
        <w:rPr>
          <w:rFonts w:hint="eastAsia"/>
        </w:rPr>
        <w:t>1000</w:t>
      </w:r>
      <w:r>
        <w:rPr>
          <w:rFonts w:hint="eastAsia"/>
        </w:rPr>
        <w:t>）</w:t>
      </w:r>
      <w:r>
        <w:rPr>
          <w:rFonts w:hint="eastAsia"/>
        </w:rPr>
        <w:tab/>
      </w:r>
      <w:r w:rsidR="00156511">
        <w:rPr>
          <w:rFonts w:hint="eastAsia"/>
        </w:rPr>
        <w:t xml:space="preserve">    </w:t>
      </w:r>
      <w:r>
        <w:rPr>
          <w:rFonts w:hint="eastAsia"/>
        </w:rPr>
        <w:t xml:space="preserve"> 3.75-6.25</w:t>
      </w:r>
      <w:r>
        <w:rPr>
          <w:rFonts w:hint="eastAsia"/>
        </w:rPr>
        <w:tab/>
      </w:r>
      <w:r w:rsidR="00156511">
        <w:rPr>
          <w:rFonts w:hint="eastAsia"/>
        </w:rPr>
        <w:t xml:space="preserve">                </w:t>
      </w:r>
      <w:r>
        <w:rPr>
          <w:rFonts w:hint="eastAsia"/>
        </w:rPr>
        <w:t>4.275-7.125</w:t>
      </w:r>
    </w:p>
    <w:p w:rsidR="008728E4" w:rsidRDefault="008728E4" w:rsidP="008728E4">
      <w:pPr>
        <w:spacing w:before="156" w:after="156"/>
        <w:ind w:firstLine="315"/>
      </w:pPr>
      <w:r>
        <w:rPr>
          <w:rFonts w:hint="eastAsia"/>
        </w:rPr>
        <w:t>3</w:t>
      </w:r>
      <w:r>
        <w:rPr>
          <w:rFonts w:hint="eastAsia"/>
        </w:rPr>
        <w:tab/>
        <w:t xml:space="preserve"> 1000</w:t>
      </w:r>
      <w:r>
        <w:rPr>
          <w:rFonts w:hint="eastAsia"/>
        </w:rPr>
        <w:t>以上～</w:t>
      </w:r>
      <w:r>
        <w:rPr>
          <w:rFonts w:hint="eastAsia"/>
        </w:rPr>
        <w:t>5000</w:t>
      </w:r>
      <w:r>
        <w:rPr>
          <w:rFonts w:hint="eastAsia"/>
        </w:rPr>
        <w:t>（含</w:t>
      </w:r>
      <w:r>
        <w:rPr>
          <w:rFonts w:hint="eastAsia"/>
        </w:rPr>
        <w:t>5000</w:t>
      </w:r>
      <w:r>
        <w:rPr>
          <w:rFonts w:hint="eastAsia"/>
        </w:rPr>
        <w:t>）</w:t>
      </w:r>
      <w:r>
        <w:rPr>
          <w:rFonts w:hint="eastAsia"/>
        </w:rPr>
        <w:tab/>
      </w:r>
      <w:r w:rsidR="00156511">
        <w:rPr>
          <w:rFonts w:hint="eastAsia"/>
        </w:rPr>
        <w:t xml:space="preserve">    </w:t>
      </w:r>
      <w:r>
        <w:rPr>
          <w:rFonts w:hint="eastAsia"/>
        </w:rPr>
        <w:t xml:space="preserve"> 1.2-2</w:t>
      </w:r>
      <w:r>
        <w:rPr>
          <w:rFonts w:hint="eastAsia"/>
        </w:rPr>
        <w:tab/>
      </w:r>
      <w:r w:rsidR="00156511">
        <w:rPr>
          <w:rFonts w:hint="eastAsia"/>
        </w:rPr>
        <w:t xml:space="preserve">                   </w:t>
      </w:r>
      <w:r>
        <w:rPr>
          <w:rFonts w:hint="eastAsia"/>
        </w:rPr>
        <w:t xml:space="preserve"> 9.075-15.125</w:t>
      </w:r>
    </w:p>
    <w:p w:rsidR="008728E4" w:rsidRDefault="008728E4" w:rsidP="008728E4">
      <w:pPr>
        <w:spacing w:before="156" w:after="156"/>
        <w:ind w:firstLine="315"/>
      </w:pPr>
      <w:r>
        <w:rPr>
          <w:rFonts w:hint="eastAsia"/>
        </w:rPr>
        <w:t>4</w:t>
      </w:r>
      <w:r>
        <w:rPr>
          <w:rFonts w:hint="eastAsia"/>
        </w:rPr>
        <w:tab/>
        <w:t xml:space="preserve"> 5000</w:t>
      </w:r>
      <w:r>
        <w:rPr>
          <w:rFonts w:hint="eastAsia"/>
        </w:rPr>
        <w:t>以上～</w:t>
      </w:r>
      <w:r>
        <w:rPr>
          <w:rFonts w:hint="eastAsia"/>
        </w:rPr>
        <w:t>10000</w:t>
      </w:r>
      <w:r>
        <w:rPr>
          <w:rFonts w:hint="eastAsia"/>
        </w:rPr>
        <w:t>（含</w:t>
      </w:r>
      <w:r>
        <w:rPr>
          <w:rFonts w:hint="eastAsia"/>
        </w:rPr>
        <w:t>10000</w:t>
      </w:r>
      <w:r>
        <w:rPr>
          <w:rFonts w:hint="eastAsia"/>
        </w:rPr>
        <w:t>）</w:t>
      </w:r>
      <w:r>
        <w:rPr>
          <w:rFonts w:hint="eastAsia"/>
        </w:rPr>
        <w:tab/>
        <w:t xml:space="preserve"> 0.75-1.25</w:t>
      </w:r>
      <w:r>
        <w:rPr>
          <w:rFonts w:hint="eastAsia"/>
        </w:rPr>
        <w:tab/>
      </w:r>
      <w:r w:rsidR="00156511">
        <w:rPr>
          <w:rFonts w:hint="eastAsia"/>
        </w:rPr>
        <w:t xml:space="preserve">              </w:t>
      </w:r>
      <w:r>
        <w:rPr>
          <w:rFonts w:hint="eastAsia"/>
        </w:rPr>
        <w:t xml:space="preserve"> 12.825-21.375</w:t>
      </w:r>
    </w:p>
    <w:p w:rsidR="008728E4" w:rsidRDefault="008728E4" w:rsidP="008728E4">
      <w:pPr>
        <w:spacing w:before="156" w:after="156"/>
        <w:ind w:firstLine="315"/>
      </w:pPr>
      <w:r>
        <w:rPr>
          <w:rFonts w:hint="eastAsia"/>
        </w:rPr>
        <w:t>5</w:t>
      </w:r>
      <w:r>
        <w:rPr>
          <w:rFonts w:hint="eastAsia"/>
        </w:rPr>
        <w:tab/>
        <w:t xml:space="preserve"> 10000</w:t>
      </w:r>
      <w:r>
        <w:rPr>
          <w:rFonts w:hint="eastAsia"/>
        </w:rPr>
        <w:t>以上～</w:t>
      </w:r>
      <w:r>
        <w:rPr>
          <w:rFonts w:hint="eastAsia"/>
        </w:rPr>
        <w:t>100000</w:t>
      </w:r>
      <w:r>
        <w:rPr>
          <w:rFonts w:hint="eastAsia"/>
        </w:rPr>
        <w:t>（含</w:t>
      </w:r>
      <w:r>
        <w:rPr>
          <w:rFonts w:hint="eastAsia"/>
        </w:rPr>
        <w:t>100000</w:t>
      </w:r>
      <w:r>
        <w:rPr>
          <w:rFonts w:hint="eastAsia"/>
        </w:rPr>
        <w:t>）</w:t>
      </w:r>
      <w:r>
        <w:rPr>
          <w:rFonts w:hint="eastAsia"/>
        </w:rPr>
        <w:tab/>
        <w:t xml:space="preserve"> 0.15-0.25</w:t>
      </w:r>
      <w:r>
        <w:rPr>
          <w:rFonts w:hint="eastAsia"/>
        </w:rPr>
        <w:tab/>
      </w:r>
      <w:r w:rsidR="00156511">
        <w:rPr>
          <w:rFonts w:hint="eastAsia"/>
        </w:rPr>
        <w:t xml:space="preserve">                  </w:t>
      </w:r>
      <w:r>
        <w:rPr>
          <w:rFonts w:hint="eastAsia"/>
        </w:rPr>
        <w:t xml:space="preserve"> 1.5-2.5</w:t>
      </w:r>
    </w:p>
    <w:p w:rsidR="008728E4" w:rsidRDefault="008728E4" w:rsidP="008728E4">
      <w:pPr>
        <w:spacing w:before="156" w:after="156"/>
        <w:ind w:firstLine="315"/>
      </w:pPr>
      <w:r>
        <w:rPr>
          <w:rFonts w:hint="eastAsia"/>
        </w:rPr>
        <w:t>6</w:t>
      </w:r>
      <w:r>
        <w:rPr>
          <w:rFonts w:hint="eastAsia"/>
        </w:rPr>
        <w:tab/>
        <w:t xml:space="preserve"> 100000</w:t>
      </w:r>
      <w:r>
        <w:rPr>
          <w:rFonts w:hint="eastAsia"/>
        </w:rPr>
        <w:t>以上</w:t>
      </w:r>
      <w:r>
        <w:rPr>
          <w:rFonts w:hint="eastAsia"/>
        </w:rPr>
        <w:tab/>
        <w:t xml:space="preserve"> </w:t>
      </w:r>
      <w:r w:rsidR="00156511">
        <w:rPr>
          <w:rFonts w:hint="eastAsia"/>
        </w:rPr>
        <w:t xml:space="preserve">                      </w:t>
      </w:r>
      <w:r>
        <w:rPr>
          <w:rFonts w:hint="eastAsia"/>
        </w:rPr>
        <w:t>0.1-0.2</w:t>
      </w:r>
      <w:r>
        <w:rPr>
          <w:rFonts w:hint="eastAsia"/>
        </w:rPr>
        <w:tab/>
      </w:r>
      <w:r w:rsidR="00156511">
        <w:rPr>
          <w:rFonts w:hint="eastAsia"/>
        </w:rPr>
        <w:t xml:space="preserve">                   </w:t>
      </w:r>
      <w:r>
        <w:rPr>
          <w:rFonts w:hint="eastAsia"/>
        </w:rPr>
        <w:t xml:space="preserve"> 1-2</w:t>
      </w:r>
    </w:p>
    <w:p w:rsidR="008728E4" w:rsidRDefault="008728E4" w:rsidP="008728E4">
      <w:pPr>
        <w:spacing w:before="156" w:after="156"/>
        <w:ind w:firstLine="315"/>
      </w:pPr>
      <w:r>
        <w:lastRenderedPageBreak/>
        <w:t xml:space="preserve"> </w:t>
      </w:r>
    </w:p>
    <w:p w:rsidR="008728E4" w:rsidRDefault="008728E4" w:rsidP="008728E4">
      <w:pPr>
        <w:spacing w:before="156" w:after="156"/>
        <w:ind w:firstLine="315"/>
      </w:pPr>
      <w:r>
        <w:rPr>
          <w:rFonts w:hint="eastAsia"/>
        </w:rPr>
        <w:t>（二）计时收费</w:t>
      </w:r>
    </w:p>
    <w:p w:rsidR="008728E4" w:rsidRDefault="008728E4" w:rsidP="008728E4">
      <w:pPr>
        <w:spacing w:before="156" w:after="156"/>
        <w:ind w:firstLine="315"/>
      </w:pPr>
      <w:r>
        <w:rPr>
          <w:rFonts w:hint="eastAsia"/>
        </w:rPr>
        <w:t>计时收费平均标准分为四档，各档计时收费标准如下：</w:t>
      </w:r>
    </w:p>
    <w:p w:rsidR="008728E4" w:rsidRDefault="008728E4" w:rsidP="008728E4">
      <w:pPr>
        <w:spacing w:before="156" w:after="156"/>
        <w:ind w:firstLine="315"/>
      </w:pPr>
      <w:r>
        <w:rPr>
          <w:rFonts w:hint="eastAsia"/>
        </w:rPr>
        <w:t>法人代表（首席合伙人）、首席评估师（总评估师）：</w:t>
      </w:r>
      <w:r>
        <w:rPr>
          <w:rFonts w:hint="eastAsia"/>
        </w:rPr>
        <w:t>300-3000</w:t>
      </w:r>
      <w:r>
        <w:rPr>
          <w:rFonts w:hint="eastAsia"/>
        </w:rPr>
        <w:t>元</w:t>
      </w:r>
      <w:r>
        <w:rPr>
          <w:rFonts w:hint="eastAsia"/>
        </w:rPr>
        <w:t>/</w:t>
      </w:r>
      <w:r>
        <w:rPr>
          <w:rFonts w:hint="eastAsia"/>
        </w:rPr>
        <w:t>人•小时；</w:t>
      </w:r>
    </w:p>
    <w:p w:rsidR="008728E4" w:rsidRDefault="008728E4" w:rsidP="008728E4">
      <w:pPr>
        <w:spacing w:before="156" w:after="156"/>
        <w:ind w:firstLine="315"/>
      </w:pPr>
      <w:r>
        <w:rPr>
          <w:rFonts w:hint="eastAsia"/>
        </w:rPr>
        <w:t>合伙人、部门经理：</w:t>
      </w:r>
      <w:r>
        <w:rPr>
          <w:rFonts w:hint="eastAsia"/>
        </w:rPr>
        <w:t>260-2600</w:t>
      </w:r>
      <w:r>
        <w:rPr>
          <w:rFonts w:hint="eastAsia"/>
        </w:rPr>
        <w:t>元</w:t>
      </w:r>
      <w:r>
        <w:rPr>
          <w:rFonts w:hint="eastAsia"/>
        </w:rPr>
        <w:t>/</w:t>
      </w:r>
      <w:r>
        <w:rPr>
          <w:rFonts w:hint="eastAsia"/>
        </w:rPr>
        <w:t>人•小时；</w:t>
      </w:r>
    </w:p>
    <w:p w:rsidR="008728E4" w:rsidRDefault="008728E4" w:rsidP="008728E4">
      <w:pPr>
        <w:spacing w:before="156" w:after="156"/>
        <w:ind w:firstLine="315"/>
      </w:pPr>
      <w:r>
        <w:rPr>
          <w:rFonts w:hint="eastAsia"/>
        </w:rPr>
        <w:t>注册评估师：</w:t>
      </w:r>
      <w:r>
        <w:rPr>
          <w:rFonts w:hint="eastAsia"/>
        </w:rPr>
        <w:t>200-2000</w:t>
      </w:r>
      <w:r>
        <w:rPr>
          <w:rFonts w:hint="eastAsia"/>
        </w:rPr>
        <w:t>元</w:t>
      </w:r>
      <w:r>
        <w:rPr>
          <w:rFonts w:hint="eastAsia"/>
        </w:rPr>
        <w:t>/</w:t>
      </w:r>
      <w:r>
        <w:rPr>
          <w:rFonts w:hint="eastAsia"/>
        </w:rPr>
        <w:t>人•小时；</w:t>
      </w:r>
    </w:p>
    <w:p w:rsidR="008728E4" w:rsidRDefault="008728E4" w:rsidP="008728E4">
      <w:pPr>
        <w:spacing w:before="156" w:after="156"/>
        <w:ind w:firstLine="315"/>
      </w:pPr>
      <w:r>
        <w:rPr>
          <w:rFonts w:hint="eastAsia"/>
        </w:rPr>
        <w:t>助理人员：</w:t>
      </w:r>
      <w:r>
        <w:rPr>
          <w:rFonts w:hint="eastAsia"/>
        </w:rPr>
        <w:t>100-1000</w:t>
      </w:r>
      <w:r>
        <w:rPr>
          <w:rFonts w:hint="eastAsia"/>
        </w:rPr>
        <w:t>元</w:t>
      </w:r>
      <w:r>
        <w:rPr>
          <w:rFonts w:hint="eastAsia"/>
        </w:rPr>
        <w:t>/</w:t>
      </w:r>
      <w:r>
        <w:rPr>
          <w:rFonts w:hint="eastAsia"/>
        </w:rPr>
        <w:t>人•小时。</w:t>
      </w:r>
    </w:p>
    <w:p w:rsidR="008728E4" w:rsidRDefault="008728E4" w:rsidP="008728E4">
      <w:pPr>
        <w:spacing w:before="156" w:after="156"/>
        <w:ind w:firstLine="315"/>
      </w:pPr>
      <w:r>
        <w:rPr>
          <w:rFonts w:hint="eastAsia"/>
        </w:rPr>
        <w:t>三、严密组织，认真贯彻。各地方协会要严密组织，将国家发展改革委、财政部联合发布《资产评估收费管理办法》迅速转发各资产评估机构，组织资产评估机构学习领会文件精神，认真贯彻实施。</w:t>
      </w:r>
    </w:p>
    <w:p w:rsidR="008728E4" w:rsidRDefault="008728E4" w:rsidP="008728E4">
      <w:pPr>
        <w:spacing w:before="156" w:after="156"/>
        <w:ind w:firstLine="315"/>
      </w:pPr>
      <w:r>
        <w:rPr>
          <w:rFonts w:hint="eastAsia"/>
        </w:rPr>
        <w:t xml:space="preserve"> </w:t>
      </w:r>
      <w:r>
        <w:rPr>
          <w:rFonts w:hint="eastAsia"/>
        </w:rPr>
        <w:t>四、严肃纪律，加强监督。各地方协会在向省级财政部门提出具体收费标准建议时，要严肃纪律，防止“制度打折”。要加强对《资产评估收费管理办法》实施情况的跟踪监督，评估机构要按规定公示评估项目和收费标准，不得违反规定压价竞争。文件执行过程中遇有问题，及时告知我会。</w:t>
      </w:r>
    </w:p>
    <w:p w:rsidR="008728E4" w:rsidRDefault="008728E4" w:rsidP="008728E4">
      <w:pPr>
        <w:spacing w:before="156" w:after="156"/>
        <w:ind w:firstLine="315"/>
      </w:pPr>
      <w:r>
        <w:rPr>
          <w:rFonts w:hint="eastAsia"/>
        </w:rPr>
        <w:t>附：国家发展改革委、财政部关于发布《资产评估收费管理办法》的通知（发改价格</w:t>
      </w:r>
      <w:r>
        <w:rPr>
          <w:rFonts w:hint="eastAsia"/>
        </w:rPr>
        <w:t>[2009]2914</w:t>
      </w:r>
      <w:r>
        <w:rPr>
          <w:rFonts w:hint="eastAsia"/>
        </w:rPr>
        <w:t>号）</w:t>
      </w:r>
    </w:p>
    <w:p w:rsidR="008728E4" w:rsidRDefault="008728E4" w:rsidP="008728E4">
      <w:pPr>
        <w:spacing w:before="156" w:after="156"/>
        <w:ind w:firstLine="315"/>
      </w:pPr>
      <w:r>
        <w:rPr>
          <w:rFonts w:hint="eastAsia"/>
        </w:rPr>
        <w:t xml:space="preserve">                                                                                                                                      </w:t>
      </w:r>
      <w:r>
        <w:rPr>
          <w:rFonts w:hint="eastAsia"/>
        </w:rPr>
        <w:t>二○○九年十二月四日</w:t>
      </w:r>
    </w:p>
    <w:p w:rsidR="008728E4" w:rsidRDefault="008728E4" w:rsidP="008728E4">
      <w:pPr>
        <w:spacing w:before="156" w:after="156"/>
        <w:ind w:firstLine="315"/>
      </w:pPr>
      <w:r>
        <w:t xml:space="preserve"> </w:t>
      </w:r>
    </w:p>
    <w:p w:rsidR="008728E4" w:rsidRDefault="008728E4" w:rsidP="008728E4">
      <w:pPr>
        <w:spacing w:before="156" w:after="156"/>
        <w:ind w:firstLine="315"/>
      </w:pPr>
      <w:r>
        <w:rPr>
          <w:rFonts w:hint="eastAsia"/>
        </w:rPr>
        <w:t>附：</w:t>
      </w:r>
    </w:p>
    <w:p w:rsidR="008728E4" w:rsidRDefault="008728E4" w:rsidP="008728E4">
      <w:pPr>
        <w:spacing w:before="156" w:after="156"/>
        <w:ind w:firstLine="315"/>
      </w:pPr>
      <w:r>
        <w:rPr>
          <w:rFonts w:hint="eastAsia"/>
        </w:rPr>
        <w:t xml:space="preserve">  </w:t>
      </w:r>
      <w:r>
        <w:rPr>
          <w:rFonts w:hint="eastAsia"/>
        </w:rPr>
        <w:t>资产评估收费管理办法</w:t>
      </w:r>
    </w:p>
    <w:p w:rsidR="008728E4" w:rsidRDefault="008728E4" w:rsidP="008728E4">
      <w:pPr>
        <w:spacing w:before="156" w:after="156"/>
        <w:ind w:firstLine="315"/>
      </w:pPr>
      <w:r>
        <w:t xml:space="preserve"> </w:t>
      </w:r>
    </w:p>
    <w:p w:rsidR="008728E4" w:rsidRDefault="008728E4" w:rsidP="008728E4">
      <w:pPr>
        <w:spacing w:before="156" w:after="156"/>
        <w:ind w:firstLine="315"/>
      </w:pPr>
      <w:r>
        <w:rPr>
          <w:rFonts w:hint="eastAsia"/>
        </w:rPr>
        <w:t>第一条</w:t>
      </w:r>
      <w:r>
        <w:rPr>
          <w:rFonts w:hint="eastAsia"/>
        </w:rPr>
        <w:t xml:space="preserve">  </w:t>
      </w:r>
      <w:r>
        <w:rPr>
          <w:rFonts w:hint="eastAsia"/>
        </w:rPr>
        <w:t>为规范资产评估收费行为，维护社会公共利益和当事人的合法权益，促进资产评估行业健康发展，根据《中华人民共和国价格法》、《国有资产评估管理办法》等有关法律法规规定，制定本办法。</w:t>
      </w:r>
    </w:p>
    <w:p w:rsidR="008728E4" w:rsidRDefault="008728E4" w:rsidP="008728E4">
      <w:pPr>
        <w:spacing w:before="156" w:after="156"/>
        <w:ind w:firstLine="315"/>
      </w:pPr>
      <w:r>
        <w:rPr>
          <w:rFonts w:hint="eastAsia"/>
        </w:rPr>
        <w:t>第二条</w:t>
      </w:r>
      <w:r>
        <w:rPr>
          <w:rFonts w:hint="eastAsia"/>
        </w:rPr>
        <w:t xml:space="preserve">  </w:t>
      </w:r>
      <w:r>
        <w:rPr>
          <w:rFonts w:hint="eastAsia"/>
        </w:rPr>
        <w:t>凡经省级以上财政主管部门批准设立的资产评估机构，依据相关法律法规和国家有关规定，提供资产评估服务，应当按照本办法收取评估费用。</w:t>
      </w:r>
    </w:p>
    <w:p w:rsidR="008728E4" w:rsidRDefault="008728E4" w:rsidP="008728E4">
      <w:pPr>
        <w:spacing w:before="156" w:after="156"/>
        <w:ind w:firstLine="315"/>
      </w:pPr>
      <w:r>
        <w:rPr>
          <w:rFonts w:hint="eastAsia"/>
        </w:rPr>
        <w:t>第三条</w:t>
      </w:r>
      <w:r>
        <w:rPr>
          <w:rFonts w:hint="eastAsia"/>
        </w:rPr>
        <w:t xml:space="preserve">  </w:t>
      </w:r>
      <w:r>
        <w:rPr>
          <w:rFonts w:hint="eastAsia"/>
        </w:rPr>
        <w:t>资产评估收费遵循公开、公平、公正、自愿有偿、诚实信用和委托人付费的原</w:t>
      </w:r>
      <w:r>
        <w:rPr>
          <w:rFonts w:hint="eastAsia"/>
        </w:rPr>
        <w:lastRenderedPageBreak/>
        <w:t>则。</w:t>
      </w:r>
    </w:p>
    <w:p w:rsidR="008728E4" w:rsidRDefault="008728E4" w:rsidP="008728E4">
      <w:pPr>
        <w:spacing w:before="156" w:after="156"/>
        <w:ind w:firstLine="315"/>
      </w:pPr>
      <w:r>
        <w:rPr>
          <w:rFonts w:hint="eastAsia"/>
        </w:rPr>
        <w:t>第四条</w:t>
      </w:r>
      <w:r>
        <w:rPr>
          <w:rFonts w:hint="eastAsia"/>
        </w:rPr>
        <w:t xml:space="preserve">  </w:t>
      </w:r>
      <w:r>
        <w:rPr>
          <w:rFonts w:hint="eastAsia"/>
        </w:rPr>
        <w:t>资产评估收费实行政府指导价和市场调节价。</w:t>
      </w:r>
    </w:p>
    <w:p w:rsidR="008728E4" w:rsidRDefault="008728E4" w:rsidP="008728E4">
      <w:pPr>
        <w:spacing w:before="156" w:after="156"/>
        <w:ind w:firstLine="315"/>
      </w:pPr>
      <w:r>
        <w:rPr>
          <w:rFonts w:hint="eastAsia"/>
        </w:rPr>
        <w:t>资产评估机构提供法律法规和国家有关规定要求实施的资产评估服务（以下简称“法定资产评估服务”），实行政府指导价；提供自愿委托的资产评估及相关服务（以下简称“非法定资产评估服务”）实行市场调节价。</w:t>
      </w:r>
    </w:p>
    <w:p w:rsidR="008728E4" w:rsidRDefault="008728E4" w:rsidP="008728E4">
      <w:pPr>
        <w:spacing w:before="156" w:after="156"/>
        <w:ind w:firstLine="315"/>
      </w:pPr>
      <w:r>
        <w:rPr>
          <w:rFonts w:hint="eastAsia"/>
        </w:rPr>
        <w:t>第五条</w:t>
      </w:r>
      <w:r>
        <w:rPr>
          <w:rFonts w:hint="eastAsia"/>
        </w:rPr>
        <w:t xml:space="preserve">  </w:t>
      </w:r>
      <w:r>
        <w:rPr>
          <w:rFonts w:hint="eastAsia"/>
        </w:rPr>
        <w:t>法定资产评估服务可实行计件收费、计时收费或计件与计时收费相结合的方式。</w:t>
      </w:r>
    </w:p>
    <w:p w:rsidR="008728E4" w:rsidRDefault="008728E4" w:rsidP="008728E4">
      <w:pPr>
        <w:spacing w:before="156" w:after="156"/>
        <w:ind w:firstLine="315"/>
      </w:pPr>
      <w:r>
        <w:rPr>
          <w:rFonts w:hint="eastAsia"/>
        </w:rPr>
        <w:t>第六条</w:t>
      </w:r>
      <w:r>
        <w:rPr>
          <w:rFonts w:hint="eastAsia"/>
        </w:rPr>
        <w:t xml:space="preserve">  </w:t>
      </w:r>
      <w:r>
        <w:rPr>
          <w:rFonts w:hint="eastAsia"/>
        </w:rPr>
        <w:t>实行计件收费的法定资产评估服务，可以被评估资产账面原值为计费依据，采取差额定率累进计算办法收取评估费用。即按被评估资产的账面原值的大小划分收费档次，分档计算收费额、各档相加为评估收费总额。</w:t>
      </w:r>
    </w:p>
    <w:p w:rsidR="008728E4" w:rsidRDefault="008728E4" w:rsidP="008728E4">
      <w:pPr>
        <w:spacing w:before="156" w:after="156"/>
        <w:ind w:firstLine="315"/>
      </w:pPr>
      <w:r>
        <w:rPr>
          <w:rFonts w:hint="eastAsia"/>
        </w:rPr>
        <w:t>第七条</w:t>
      </w:r>
      <w:r>
        <w:rPr>
          <w:rFonts w:hint="eastAsia"/>
        </w:rPr>
        <w:t xml:space="preserve">  </w:t>
      </w:r>
      <w:r>
        <w:rPr>
          <w:rFonts w:hint="eastAsia"/>
        </w:rPr>
        <w:t>实行计时收费的法定资产评估服务，可按照完成资产评估业务所需工作人日数和每个工作人日收费标准收取评估费用。工作人日数根据评估项目的性质、风险大小、繁简程度等确定；每个工作人日收费标准根据评估人员专业技能水平、评估工作的服务质量等确定。</w:t>
      </w:r>
    </w:p>
    <w:p w:rsidR="008728E4" w:rsidRDefault="008728E4" w:rsidP="008728E4">
      <w:pPr>
        <w:spacing w:before="156" w:after="156"/>
        <w:ind w:firstLine="315"/>
      </w:pPr>
      <w:r>
        <w:rPr>
          <w:rFonts w:hint="eastAsia"/>
        </w:rPr>
        <w:t>第八条</w:t>
      </w:r>
      <w:r>
        <w:rPr>
          <w:rFonts w:hint="eastAsia"/>
        </w:rPr>
        <w:t xml:space="preserve">  </w:t>
      </w:r>
      <w:r>
        <w:rPr>
          <w:rFonts w:hint="eastAsia"/>
        </w:rPr>
        <w:t>政府指导价的基准价及其上下浮动幅度，由各省、自治区、直辖市政府财政部门提出意见，同级价格主管部门制定。</w:t>
      </w:r>
    </w:p>
    <w:p w:rsidR="008728E4" w:rsidRDefault="008728E4" w:rsidP="008728E4">
      <w:pPr>
        <w:spacing w:before="156" w:after="156"/>
        <w:ind w:firstLine="315"/>
      </w:pPr>
      <w:r>
        <w:rPr>
          <w:rFonts w:hint="eastAsia"/>
        </w:rPr>
        <w:t>第九条</w:t>
      </w:r>
      <w:r>
        <w:rPr>
          <w:rFonts w:hint="eastAsia"/>
        </w:rPr>
        <w:t xml:space="preserve">  </w:t>
      </w:r>
      <w:r>
        <w:rPr>
          <w:rFonts w:hint="eastAsia"/>
        </w:rPr>
        <w:t>制定法定资产评估服务收费标准，应当以资产评估服务的社会平均成本、法定税金、合理利润为基础，并考虑当地经济发展水平、社会承受能力、对资本市场、社会公众的影响等因素确定。</w:t>
      </w:r>
    </w:p>
    <w:p w:rsidR="008728E4" w:rsidRDefault="008728E4" w:rsidP="008728E4">
      <w:pPr>
        <w:spacing w:before="156" w:after="156"/>
        <w:ind w:firstLine="315"/>
      </w:pPr>
      <w:r>
        <w:rPr>
          <w:rFonts w:hint="eastAsia"/>
        </w:rPr>
        <w:t>第十条</w:t>
      </w:r>
      <w:r>
        <w:rPr>
          <w:rFonts w:hint="eastAsia"/>
        </w:rPr>
        <w:t xml:space="preserve">  </w:t>
      </w:r>
      <w:r>
        <w:rPr>
          <w:rFonts w:hint="eastAsia"/>
        </w:rPr>
        <w:t>实行市场调节价的非法定资产评估服务，应由资产评估机构提出收费标准范围，具体标准由资产评估机构与委托方协商确定。确定收费标准时应考虑以下主要因素：</w:t>
      </w:r>
    </w:p>
    <w:p w:rsidR="008728E4" w:rsidRDefault="008728E4" w:rsidP="008728E4">
      <w:pPr>
        <w:spacing w:before="156" w:after="156"/>
        <w:ind w:firstLine="315"/>
      </w:pPr>
      <w:r>
        <w:rPr>
          <w:rFonts w:hint="eastAsia"/>
        </w:rPr>
        <w:t>（一）耗费的工作时间和执业成本；</w:t>
      </w:r>
    </w:p>
    <w:p w:rsidR="008728E4" w:rsidRDefault="008728E4" w:rsidP="008728E4">
      <w:pPr>
        <w:spacing w:before="156" w:after="156"/>
        <w:ind w:firstLine="315"/>
      </w:pPr>
      <w:r>
        <w:rPr>
          <w:rFonts w:hint="eastAsia"/>
        </w:rPr>
        <w:t>（二）评估业务的难易程度；</w:t>
      </w:r>
    </w:p>
    <w:p w:rsidR="008728E4" w:rsidRDefault="008728E4" w:rsidP="008728E4">
      <w:pPr>
        <w:spacing w:before="156" w:after="156"/>
        <w:ind w:firstLine="315"/>
      </w:pPr>
      <w:r>
        <w:rPr>
          <w:rFonts w:hint="eastAsia"/>
        </w:rPr>
        <w:t>（三）委托人的承受能力；</w:t>
      </w:r>
    </w:p>
    <w:p w:rsidR="008728E4" w:rsidRDefault="008728E4" w:rsidP="008728E4">
      <w:pPr>
        <w:spacing w:before="156" w:after="156"/>
        <w:ind w:firstLine="315"/>
      </w:pPr>
      <w:r>
        <w:rPr>
          <w:rFonts w:hint="eastAsia"/>
        </w:rPr>
        <w:t>（四）注册资产评估师可能承担的风险和责任；</w:t>
      </w:r>
    </w:p>
    <w:p w:rsidR="008728E4" w:rsidRDefault="008728E4" w:rsidP="008728E4">
      <w:pPr>
        <w:spacing w:before="156" w:after="156"/>
        <w:ind w:firstLine="315"/>
      </w:pPr>
      <w:r>
        <w:rPr>
          <w:rFonts w:hint="eastAsia"/>
        </w:rPr>
        <w:t>（五）注册资产评估师的社会信誉和工作水平等。</w:t>
      </w:r>
    </w:p>
    <w:p w:rsidR="008728E4" w:rsidRDefault="008728E4" w:rsidP="008728E4">
      <w:pPr>
        <w:spacing w:before="156" w:after="156"/>
        <w:ind w:firstLine="315"/>
      </w:pPr>
      <w:r>
        <w:rPr>
          <w:rFonts w:hint="eastAsia"/>
        </w:rPr>
        <w:t>第十一条</w:t>
      </w:r>
      <w:r>
        <w:rPr>
          <w:rFonts w:hint="eastAsia"/>
        </w:rPr>
        <w:t xml:space="preserve">  </w:t>
      </w:r>
      <w:r>
        <w:rPr>
          <w:rFonts w:hint="eastAsia"/>
        </w:rPr>
        <w:t>资产评估机构异地设立的分支机构，应当执行分支机构所在地的资产评估服务收费规定。</w:t>
      </w:r>
    </w:p>
    <w:p w:rsidR="008728E4" w:rsidRDefault="008728E4" w:rsidP="008728E4">
      <w:pPr>
        <w:spacing w:before="156" w:after="156"/>
        <w:ind w:firstLine="315"/>
      </w:pPr>
      <w:r>
        <w:rPr>
          <w:rFonts w:hint="eastAsia"/>
        </w:rPr>
        <w:t>资产评估机构异地提供资产评估服务，可以执行资产评估机构所在地或者提供资产评估</w:t>
      </w:r>
      <w:r>
        <w:rPr>
          <w:rFonts w:hint="eastAsia"/>
        </w:rPr>
        <w:lastRenderedPageBreak/>
        <w:t>服务所在地的收费规定，具体由资产评估机构与委托人协商确定。</w:t>
      </w:r>
    </w:p>
    <w:p w:rsidR="008728E4" w:rsidRDefault="008728E4" w:rsidP="008728E4">
      <w:pPr>
        <w:spacing w:before="156" w:after="156"/>
        <w:ind w:firstLine="315"/>
      </w:pPr>
      <w:r>
        <w:rPr>
          <w:rFonts w:hint="eastAsia"/>
        </w:rPr>
        <w:t>第十二条</w:t>
      </w:r>
      <w:r>
        <w:rPr>
          <w:rFonts w:hint="eastAsia"/>
        </w:rPr>
        <w:t xml:space="preserve">  </w:t>
      </w:r>
      <w:r>
        <w:rPr>
          <w:rFonts w:hint="eastAsia"/>
        </w:rPr>
        <w:t>资产评估机构接受委托，应当与委托人签订资产评估服务业务收费合同（协议）或者在业务约定书中载明收费条款。</w:t>
      </w:r>
    </w:p>
    <w:p w:rsidR="008728E4" w:rsidRDefault="008728E4" w:rsidP="008728E4">
      <w:pPr>
        <w:spacing w:before="156" w:after="156"/>
        <w:ind w:firstLine="315"/>
      </w:pPr>
      <w:r>
        <w:rPr>
          <w:rFonts w:hint="eastAsia"/>
        </w:rPr>
        <w:t>收费合同（协议）或收费条款应包括：收费项目、收费标准、收费方式、收费金额、付款和结算方式、争议解决方式等内容。</w:t>
      </w:r>
    </w:p>
    <w:p w:rsidR="008728E4" w:rsidRDefault="008728E4" w:rsidP="008728E4">
      <w:pPr>
        <w:spacing w:before="156" w:after="156"/>
        <w:ind w:firstLine="315"/>
      </w:pPr>
      <w:r>
        <w:rPr>
          <w:rFonts w:hint="eastAsia"/>
        </w:rPr>
        <w:t>第十三条</w:t>
      </w:r>
      <w:r>
        <w:rPr>
          <w:rFonts w:hint="eastAsia"/>
        </w:rPr>
        <w:t xml:space="preserve">  </w:t>
      </w:r>
      <w:r>
        <w:rPr>
          <w:rFonts w:hint="eastAsia"/>
        </w:rPr>
        <w:t>资产评估机构与委托人签订合同（协议）后，因一方过错或无正当理由委托关系终止的，有关费用的退补和赔偿依照《合同法》等有关规定办理。</w:t>
      </w:r>
    </w:p>
    <w:p w:rsidR="008728E4" w:rsidRDefault="008728E4" w:rsidP="008728E4">
      <w:pPr>
        <w:spacing w:before="156" w:after="156"/>
        <w:ind w:firstLine="315"/>
      </w:pPr>
      <w:r>
        <w:rPr>
          <w:rFonts w:hint="eastAsia"/>
        </w:rPr>
        <w:t>第十四条</w:t>
      </w:r>
      <w:r>
        <w:rPr>
          <w:rFonts w:hint="eastAsia"/>
        </w:rPr>
        <w:t xml:space="preserve">   </w:t>
      </w:r>
      <w:r>
        <w:rPr>
          <w:rFonts w:hint="eastAsia"/>
        </w:rPr>
        <w:t>采取招（投）标方式取得法定资产评估服务业务时，资产评估机构应当在规定的基准价和浮动幅度内合理确定投标报价。</w:t>
      </w:r>
    </w:p>
    <w:p w:rsidR="008728E4" w:rsidRDefault="008728E4" w:rsidP="008728E4">
      <w:pPr>
        <w:spacing w:before="156" w:after="156"/>
        <w:ind w:firstLine="315"/>
      </w:pPr>
      <w:r>
        <w:rPr>
          <w:rFonts w:hint="eastAsia"/>
        </w:rPr>
        <w:t>第十五条</w:t>
      </w:r>
      <w:r>
        <w:rPr>
          <w:rFonts w:hint="eastAsia"/>
        </w:rPr>
        <w:t xml:space="preserve">    </w:t>
      </w:r>
      <w:r>
        <w:rPr>
          <w:rFonts w:hint="eastAsia"/>
        </w:rPr>
        <w:t>资产评估机构为委托人提供资产评估服务，应当严格按照相关法律、法规和评估准则，恪守独立、客观、公正原则，履行必要的评估程序。</w:t>
      </w:r>
    </w:p>
    <w:p w:rsidR="008728E4" w:rsidRDefault="008728E4" w:rsidP="008728E4">
      <w:pPr>
        <w:spacing w:before="156" w:after="156"/>
        <w:ind w:firstLine="315"/>
      </w:pPr>
      <w:r>
        <w:rPr>
          <w:rFonts w:hint="eastAsia"/>
        </w:rPr>
        <w:t>第十六条</w:t>
      </w:r>
      <w:r>
        <w:rPr>
          <w:rFonts w:hint="eastAsia"/>
        </w:rPr>
        <w:t xml:space="preserve">  </w:t>
      </w:r>
      <w:r>
        <w:rPr>
          <w:rFonts w:hint="eastAsia"/>
        </w:rPr>
        <w:t>资产评估机构向委托人收取评估费用，应当出具合法票据。</w:t>
      </w:r>
    </w:p>
    <w:p w:rsidR="008728E4" w:rsidRDefault="008728E4" w:rsidP="008728E4">
      <w:pPr>
        <w:spacing w:before="156" w:after="156"/>
        <w:ind w:firstLine="315"/>
      </w:pPr>
      <w:r>
        <w:rPr>
          <w:rFonts w:hint="eastAsia"/>
        </w:rPr>
        <w:t>第十七条</w:t>
      </w:r>
      <w:r>
        <w:rPr>
          <w:rFonts w:hint="eastAsia"/>
        </w:rPr>
        <w:t xml:space="preserve">  </w:t>
      </w:r>
      <w:r>
        <w:rPr>
          <w:rFonts w:hint="eastAsia"/>
        </w:rPr>
        <w:t>资产评估机构应当在营业场所显著位置公示评估项目、收费标准等信息，接受社会监督。</w:t>
      </w:r>
    </w:p>
    <w:p w:rsidR="008728E4" w:rsidRDefault="008728E4" w:rsidP="008728E4">
      <w:pPr>
        <w:spacing w:before="156" w:after="156"/>
        <w:ind w:firstLine="315"/>
      </w:pPr>
      <w:r>
        <w:rPr>
          <w:rFonts w:hint="eastAsia"/>
        </w:rPr>
        <w:t>第十八条　资产评估机构应当严格执行政府价格主管部门制定的资产评估收费管理办法和收费标准，建立健全内部收费管理制度，保证评估质量，自觉接受价格主管部门的监督检查。</w:t>
      </w:r>
    </w:p>
    <w:p w:rsidR="008728E4" w:rsidRDefault="008728E4" w:rsidP="008728E4">
      <w:pPr>
        <w:spacing w:before="156" w:after="156"/>
        <w:ind w:firstLine="315"/>
      </w:pPr>
      <w:r>
        <w:rPr>
          <w:rFonts w:hint="eastAsia"/>
        </w:rPr>
        <w:t>第十九条</w:t>
      </w:r>
      <w:r>
        <w:rPr>
          <w:rFonts w:hint="eastAsia"/>
        </w:rPr>
        <w:t xml:space="preserve">  </w:t>
      </w:r>
      <w:r>
        <w:rPr>
          <w:rFonts w:hint="eastAsia"/>
        </w:rPr>
        <w:t>资产评估机构评估收费中有下列情形之一的，由政府价格主管部门依照《价格法》和《价格违法行为行政处罚规定》实施行政处罚：</w:t>
      </w:r>
    </w:p>
    <w:p w:rsidR="008728E4" w:rsidRDefault="008728E4" w:rsidP="008728E4">
      <w:pPr>
        <w:spacing w:before="156" w:after="156"/>
        <w:ind w:firstLine="315"/>
      </w:pPr>
      <w:r>
        <w:rPr>
          <w:rFonts w:hint="eastAsia"/>
        </w:rPr>
        <w:t>（一）未按规定公示服务项目、收费标准的；</w:t>
      </w:r>
    </w:p>
    <w:p w:rsidR="008728E4" w:rsidRDefault="008728E4" w:rsidP="008728E4">
      <w:pPr>
        <w:spacing w:before="156" w:after="156"/>
        <w:ind w:firstLine="315"/>
      </w:pPr>
      <w:r>
        <w:rPr>
          <w:rFonts w:hint="eastAsia"/>
        </w:rPr>
        <w:t>（二）超出政府指导价浮动幅度制定价格的；</w:t>
      </w:r>
    </w:p>
    <w:p w:rsidR="008728E4" w:rsidRDefault="008728E4" w:rsidP="008728E4">
      <w:pPr>
        <w:spacing w:before="156" w:after="156"/>
        <w:ind w:firstLine="315"/>
      </w:pPr>
      <w:r>
        <w:rPr>
          <w:rFonts w:hint="eastAsia"/>
        </w:rPr>
        <w:t>（三）擅自制定属于政府指导价范围内的评估服务收费的；</w:t>
      </w:r>
    </w:p>
    <w:p w:rsidR="008728E4" w:rsidRDefault="008728E4" w:rsidP="008728E4">
      <w:pPr>
        <w:spacing w:before="156" w:after="156"/>
        <w:ind w:firstLine="315"/>
      </w:pPr>
      <w:r>
        <w:rPr>
          <w:rFonts w:hint="eastAsia"/>
        </w:rPr>
        <w:t>（四）采取分解收费项目、重复收费，扩大收费范围等方式乱收费的；</w:t>
      </w:r>
    </w:p>
    <w:p w:rsidR="008728E4" w:rsidRDefault="008728E4" w:rsidP="008728E4">
      <w:pPr>
        <w:spacing w:before="156" w:after="156"/>
        <w:ind w:firstLine="315"/>
      </w:pPr>
      <w:r>
        <w:rPr>
          <w:rFonts w:hint="eastAsia"/>
        </w:rPr>
        <w:t>（五）不按规定提供资产评估服务而收取费用的；</w:t>
      </w:r>
    </w:p>
    <w:p w:rsidR="008728E4" w:rsidRDefault="008728E4" w:rsidP="008728E4">
      <w:pPr>
        <w:spacing w:before="156" w:after="156"/>
        <w:ind w:firstLine="315"/>
      </w:pPr>
      <w:r>
        <w:rPr>
          <w:rFonts w:hint="eastAsia"/>
        </w:rPr>
        <w:t>（六）其他价格违法行为。</w:t>
      </w:r>
    </w:p>
    <w:p w:rsidR="008728E4" w:rsidRDefault="008728E4" w:rsidP="008728E4">
      <w:pPr>
        <w:spacing w:before="156" w:after="156"/>
        <w:ind w:firstLine="315"/>
      </w:pPr>
      <w:r>
        <w:rPr>
          <w:rFonts w:hint="eastAsia"/>
        </w:rPr>
        <w:t>第二十条</w:t>
      </w:r>
      <w:r>
        <w:rPr>
          <w:rFonts w:hint="eastAsia"/>
        </w:rPr>
        <w:t xml:space="preserve">  </w:t>
      </w:r>
      <w:r>
        <w:rPr>
          <w:rFonts w:hint="eastAsia"/>
        </w:rPr>
        <w:t>公民、法人和其他组织对资产评估机构或注册资产评估师不执行政府指导价或存在其他价格违法行为的，可以向资产评估机构所在地价格主管部门举报、投诉。</w:t>
      </w:r>
    </w:p>
    <w:p w:rsidR="008728E4" w:rsidRDefault="008728E4" w:rsidP="008728E4">
      <w:pPr>
        <w:spacing w:before="156" w:after="156"/>
        <w:ind w:firstLine="315"/>
      </w:pPr>
      <w:r>
        <w:rPr>
          <w:rFonts w:hint="eastAsia"/>
        </w:rPr>
        <w:t>第二十一条</w:t>
      </w:r>
      <w:r>
        <w:rPr>
          <w:rFonts w:hint="eastAsia"/>
        </w:rPr>
        <w:t xml:space="preserve">  </w:t>
      </w:r>
      <w:r>
        <w:rPr>
          <w:rFonts w:hint="eastAsia"/>
        </w:rPr>
        <w:t>资产评估机构与委托人之间发生收费纠纷，资产评估机构应当与委托人协</w:t>
      </w:r>
      <w:r>
        <w:rPr>
          <w:rFonts w:hint="eastAsia"/>
        </w:rPr>
        <w:lastRenderedPageBreak/>
        <w:t>商解决，也可以申请仲裁或者向人民法院提起诉讼。</w:t>
      </w:r>
    </w:p>
    <w:p w:rsidR="008728E4" w:rsidRDefault="008728E4" w:rsidP="008728E4">
      <w:pPr>
        <w:spacing w:before="156" w:after="156"/>
        <w:ind w:firstLine="315"/>
      </w:pPr>
      <w:r>
        <w:rPr>
          <w:rFonts w:hint="eastAsia"/>
        </w:rPr>
        <w:t>第二十二条</w:t>
      </w:r>
      <w:r>
        <w:rPr>
          <w:rFonts w:hint="eastAsia"/>
        </w:rPr>
        <w:t xml:space="preserve">  </w:t>
      </w:r>
      <w:r>
        <w:rPr>
          <w:rFonts w:hint="eastAsia"/>
        </w:rPr>
        <w:t>资产评估机构受委托人要求，赴境外或港澳台地区开展资产评估服务的费用，通过与委托人签订合同的方式协商确定。</w:t>
      </w:r>
      <w:r>
        <w:rPr>
          <w:rFonts w:hint="eastAsia"/>
        </w:rPr>
        <w:t xml:space="preserve">     </w:t>
      </w:r>
    </w:p>
    <w:p w:rsidR="008728E4" w:rsidRDefault="008728E4" w:rsidP="008728E4">
      <w:pPr>
        <w:spacing w:before="156" w:after="156"/>
        <w:ind w:firstLine="315"/>
      </w:pPr>
      <w:r>
        <w:rPr>
          <w:rFonts w:hint="eastAsia"/>
        </w:rPr>
        <w:t>第二十三条</w:t>
      </w:r>
      <w:r>
        <w:rPr>
          <w:rFonts w:hint="eastAsia"/>
        </w:rPr>
        <w:t xml:space="preserve">  </w:t>
      </w:r>
      <w:r>
        <w:rPr>
          <w:rFonts w:hint="eastAsia"/>
        </w:rPr>
        <w:t>本办法由国家发展改革委会同财政部负责解释。</w:t>
      </w:r>
    </w:p>
    <w:p w:rsidR="00BE25A4" w:rsidRDefault="008728E4" w:rsidP="008728E4">
      <w:pPr>
        <w:spacing w:before="156" w:after="156"/>
        <w:ind w:firstLine="315"/>
      </w:pPr>
      <w:r>
        <w:rPr>
          <w:rFonts w:hint="eastAsia"/>
        </w:rPr>
        <w:t>第二十四条</w:t>
      </w:r>
      <w:r>
        <w:rPr>
          <w:rFonts w:hint="eastAsia"/>
        </w:rPr>
        <w:t xml:space="preserve">  </w:t>
      </w:r>
      <w:r>
        <w:rPr>
          <w:rFonts w:hint="eastAsia"/>
        </w:rPr>
        <w:t>本办法自</w:t>
      </w:r>
      <w:r>
        <w:rPr>
          <w:rFonts w:hint="eastAsia"/>
        </w:rPr>
        <w:t>2010</w:t>
      </w:r>
      <w:r>
        <w:rPr>
          <w:rFonts w:hint="eastAsia"/>
        </w:rPr>
        <w:t>年</w:t>
      </w:r>
      <w:r>
        <w:rPr>
          <w:rFonts w:hint="eastAsia"/>
        </w:rPr>
        <w:t>1</w:t>
      </w:r>
      <w:r>
        <w:rPr>
          <w:rFonts w:hint="eastAsia"/>
        </w:rPr>
        <w:t>月</w:t>
      </w:r>
      <w:r>
        <w:rPr>
          <w:rFonts w:hint="eastAsia"/>
        </w:rPr>
        <w:t>1</w:t>
      </w:r>
      <w:r>
        <w:rPr>
          <w:rFonts w:hint="eastAsia"/>
        </w:rPr>
        <w:t>日起执行，原国家物价局、国家国有资产管理局发布的《资产评估收费管理暂行办法》（价费字</w:t>
      </w:r>
      <w:r>
        <w:rPr>
          <w:rFonts w:hint="eastAsia"/>
        </w:rPr>
        <w:t>[1992]625</w:t>
      </w:r>
      <w:r>
        <w:rPr>
          <w:rFonts w:hint="eastAsia"/>
        </w:rPr>
        <w:t>号）同时废止。</w:t>
      </w:r>
    </w:p>
    <w:sectPr w:rsidR="00BE25A4" w:rsidSect="00BE25A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DBC" w:rsidRDefault="00C23DBC" w:rsidP="00156511">
      <w:pPr>
        <w:spacing w:before="120" w:after="120" w:line="240" w:lineRule="auto"/>
        <w:ind w:firstLine="315"/>
      </w:pPr>
      <w:r>
        <w:separator/>
      </w:r>
    </w:p>
  </w:endnote>
  <w:endnote w:type="continuationSeparator" w:id="1">
    <w:p w:rsidR="00C23DBC" w:rsidRDefault="00C23DBC" w:rsidP="00156511">
      <w:pPr>
        <w:spacing w:before="120" w:after="120" w:line="240" w:lineRule="auto"/>
        <w:ind w:firstLine="31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11" w:rsidRDefault="00156511" w:rsidP="00156511">
    <w:pPr>
      <w:pStyle w:val="a4"/>
      <w:spacing w:before="120" w:after="120"/>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11" w:rsidRDefault="00156511" w:rsidP="00156511">
    <w:pPr>
      <w:pStyle w:val="a4"/>
      <w:spacing w:before="120" w:after="120"/>
      <w:ind w:firstLine="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11" w:rsidRDefault="00156511" w:rsidP="00156511">
    <w:pPr>
      <w:pStyle w:val="a4"/>
      <w:spacing w:before="120" w:after="120"/>
      <w:ind w:firstLine="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DBC" w:rsidRDefault="00C23DBC" w:rsidP="00156511">
      <w:pPr>
        <w:spacing w:before="120" w:after="120" w:line="240" w:lineRule="auto"/>
        <w:ind w:firstLine="315"/>
      </w:pPr>
      <w:r>
        <w:separator/>
      </w:r>
    </w:p>
  </w:footnote>
  <w:footnote w:type="continuationSeparator" w:id="1">
    <w:p w:rsidR="00C23DBC" w:rsidRDefault="00C23DBC" w:rsidP="00156511">
      <w:pPr>
        <w:spacing w:before="120" w:after="120" w:line="240" w:lineRule="auto"/>
        <w:ind w:firstLine="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11" w:rsidRDefault="00156511" w:rsidP="00156511">
    <w:pPr>
      <w:pStyle w:val="a3"/>
      <w:spacing w:before="120" w:after="120"/>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11" w:rsidRDefault="00156511" w:rsidP="00156511">
    <w:pPr>
      <w:pStyle w:val="a3"/>
      <w:spacing w:before="120" w:after="120"/>
      <w:ind w:firstLine="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11" w:rsidRDefault="00156511" w:rsidP="00156511">
    <w:pPr>
      <w:pStyle w:val="a3"/>
      <w:spacing w:before="120" w:after="120"/>
      <w:ind w:firstLine="27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28E4"/>
    <w:rsid w:val="000007E7"/>
    <w:rsid w:val="000017BC"/>
    <w:rsid w:val="00002458"/>
    <w:rsid w:val="00002902"/>
    <w:rsid w:val="00002DB6"/>
    <w:rsid w:val="00002DB8"/>
    <w:rsid w:val="000076D4"/>
    <w:rsid w:val="000102EB"/>
    <w:rsid w:val="00010D36"/>
    <w:rsid w:val="00011010"/>
    <w:rsid w:val="00015D0D"/>
    <w:rsid w:val="0001679B"/>
    <w:rsid w:val="00021504"/>
    <w:rsid w:val="00021634"/>
    <w:rsid w:val="0002199B"/>
    <w:rsid w:val="00021CAF"/>
    <w:rsid w:val="00022F87"/>
    <w:rsid w:val="0002366A"/>
    <w:rsid w:val="0002506B"/>
    <w:rsid w:val="00026503"/>
    <w:rsid w:val="000273AC"/>
    <w:rsid w:val="00032285"/>
    <w:rsid w:val="00033334"/>
    <w:rsid w:val="00034C88"/>
    <w:rsid w:val="0003501C"/>
    <w:rsid w:val="000368E9"/>
    <w:rsid w:val="0003754C"/>
    <w:rsid w:val="000376E8"/>
    <w:rsid w:val="000421E7"/>
    <w:rsid w:val="000435E3"/>
    <w:rsid w:val="00044C99"/>
    <w:rsid w:val="00045686"/>
    <w:rsid w:val="000469C4"/>
    <w:rsid w:val="00050553"/>
    <w:rsid w:val="00051155"/>
    <w:rsid w:val="000523FE"/>
    <w:rsid w:val="0005251A"/>
    <w:rsid w:val="00053389"/>
    <w:rsid w:val="00055080"/>
    <w:rsid w:val="000558BF"/>
    <w:rsid w:val="00055E65"/>
    <w:rsid w:val="000570BB"/>
    <w:rsid w:val="0005760A"/>
    <w:rsid w:val="0006018D"/>
    <w:rsid w:val="0006090B"/>
    <w:rsid w:val="000609ED"/>
    <w:rsid w:val="00061541"/>
    <w:rsid w:val="00063208"/>
    <w:rsid w:val="00064A6F"/>
    <w:rsid w:val="000652D9"/>
    <w:rsid w:val="00066BE9"/>
    <w:rsid w:val="0007010B"/>
    <w:rsid w:val="00070279"/>
    <w:rsid w:val="00070B22"/>
    <w:rsid w:val="00071984"/>
    <w:rsid w:val="00072238"/>
    <w:rsid w:val="000732F5"/>
    <w:rsid w:val="00074F66"/>
    <w:rsid w:val="0007561D"/>
    <w:rsid w:val="0007571E"/>
    <w:rsid w:val="00075B87"/>
    <w:rsid w:val="00077F68"/>
    <w:rsid w:val="0008299E"/>
    <w:rsid w:val="00082BBC"/>
    <w:rsid w:val="00083371"/>
    <w:rsid w:val="000837CC"/>
    <w:rsid w:val="00083CDF"/>
    <w:rsid w:val="00085ADA"/>
    <w:rsid w:val="00085B3E"/>
    <w:rsid w:val="00086743"/>
    <w:rsid w:val="00087CCF"/>
    <w:rsid w:val="00090210"/>
    <w:rsid w:val="00090E3B"/>
    <w:rsid w:val="00093AB9"/>
    <w:rsid w:val="00093B95"/>
    <w:rsid w:val="00094077"/>
    <w:rsid w:val="00094621"/>
    <w:rsid w:val="00094A2B"/>
    <w:rsid w:val="00095355"/>
    <w:rsid w:val="000963A6"/>
    <w:rsid w:val="00096788"/>
    <w:rsid w:val="000A01B9"/>
    <w:rsid w:val="000A0880"/>
    <w:rsid w:val="000A20C8"/>
    <w:rsid w:val="000A2125"/>
    <w:rsid w:val="000A2F5D"/>
    <w:rsid w:val="000A4ADF"/>
    <w:rsid w:val="000A61AA"/>
    <w:rsid w:val="000A6464"/>
    <w:rsid w:val="000A77CE"/>
    <w:rsid w:val="000B0251"/>
    <w:rsid w:val="000B0C5D"/>
    <w:rsid w:val="000B1B69"/>
    <w:rsid w:val="000B2569"/>
    <w:rsid w:val="000B599E"/>
    <w:rsid w:val="000B5B7C"/>
    <w:rsid w:val="000B68F0"/>
    <w:rsid w:val="000B6E1B"/>
    <w:rsid w:val="000C24C5"/>
    <w:rsid w:val="000C2CF0"/>
    <w:rsid w:val="000C681D"/>
    <w:rsid w:val="000C6C0D"/>
    <w:rsid w:val="000C71B6"/>
    <w:rsid w:val="000C7257"/>
    <w:rsid w:val="000C751A"/>
    <w:rsid w:val="000D0267"/>
    <w:rsid w:val="000D0ADC"/>
    <w:rsid w:val="000D0BA2"/>
    <w:rsid w:val="000D0E87"/>
    <w:rsid w:val="000D2386"/>
    <w:rsid w:val="000D3373"/>
    <w:rsid w:val="000D3669"/>
    <w:rsid w:val="000D58E3"/>
    <w:rsid w:val="000E0325"/>
    <w:rsid w:val="000E0BDA"/>
    <w:rsid w:val="000E1A15"/>
    <w:rsid w:val="000E4A51"/>
    <w:rsid w:val="000E4E27"/>
    <w:rsid w:val="000E6173"/>
    <w:rsid w:val="000E6375"/>
    <w:rsid w:val="000E6636"/>
    <w:rsid w:val="000E6B4F"/>
    <w:rsid w:val="000E7AB5"/>
    <w:rsid w:val="000F13F5"/>
    <w:rsid w:val="000F3CAA"/>
    <w:rsid w:val="000F3E31"/>
    <w:rsid w:val="000F42F1"/>
    <w:rsid w:val="000F43EC"/>
    <w:rsid w:val="000F4643"/>
    <w:rsid w:val="000F598F"/>
    <w:rsid w:val="00100FFD"/>
    <w:rsid w:val="0010105B"/>
    <w:rsid w:val="00101E6A"/>
    <w:rsid w:val="00102B8B"/>
    <w:rsid w:val="0010400C"/>
    <w:rsid w:val="001054CA"/>
    <w:rsid w:val="0010764E"/>
    <w:rsid w:val="0010790B"/>
    <w:rsid w:val="0011060A"/>
    <w:rsid w:val="0011370B"/>
    <w:rsid w:val="001137A5"/>
    <w:rsid w:val="00113FCA"/>
    <w:rsid w:val="00114D9D"/>
    <w:rsid w:val="00115461"/>
    <w:rsid w:val="00116192"/>
    <w:rsid w:val="0011686F"/>
    <w:rsid w:val="001178F3"/>
    <w:rsid w:val="001207B4"/>
    <w:rsid w:val="00120D93"/>
    <w:rsid w:val="001214DB"/>
    <w:rsid w:val="00121EA1"/>
    <w:rsid w:val="001227AD"/>
    <w:rsid w:val="00122DC6"/>
    <w:rsid w:val="00125194"/>
    <w:rsid w:val="00125624"/>
    <w:rsid w:val="00127D46"/>
    <w:rsid w:val="00130A75"/>
    <w:rsid w:val="00131F3F"/>
    <w:rsid w:val="00133EC8"/>
    <w:rsid w:val="00133FAA"/>
    <w:rsid w:val="001342EA"/>
    <w:rsid w:val="001343CC"/>
    <w:rsid w:val="001348D5"/>
    <w:rsid w:val="00134BBF"/>
    <w:rsid w:val="00135004"/>
    <w:rsid w:val="00135077"/>
    <w:rsid w:val="00136A81"/>
    <w:rsid w:val="00140BCF"/>
    <w:rsid w:val="00141445"/>
    <w:rsid w:val="001427DB"/>
    <w:rsid w:val="00142A9D"/>
    <w:rsid w:val="00142C68"/>
    <w:rsid w:val="00143400"/>
    <w:rsid w:val="00146A74"/>
    <w:rsid w:val="001510F0"/>
    <w:rsid w:val="00151997"/>
    <w:rsid w:val="00151AB7"/>
    <w:rsid w:val="00152135"/>
    <w:rsid w:val="00155204"/>
    <w:rsid w:val="00155817"/>
    <w:rsid w:val="00156511"/>
    <w:rsid w:val="001575C3"/>
    <w:rsid w:val="0015781D"/>
    <w:rsid w:val="00157D1B"/>
    <w:rsid w:val="00160550"/>
    <w:rsid w:val="00161883"/>
    <w:rsid w:val="00161DD9"/>
    <w:rsid w:val="0016289F"/>
    <w:rsid w:val="001634BB"/>
    <w:rsid w:val="00163CF6"/>
    <w:rsid w:val="00165240"/>
    <w:rsid w:val="00166BF7"/>
    <w:rsid w:val="00170D49"/>
    <w:rsid w:val="00171C9C"/>
    <w:rsid w:val="00174711"/>
    <w:rsid w:val="001751AA"/>
    <w:rsid w:val="0017599A"/>
    <w:rsid w:val="001761DD"/>
    <w:rsid w:val="0017640E"/>
    <w:rsid w:val="00176E3C"/>
    <w:rsid w:val="00177B3B"/>
    <w:rsid w:val="001805BE"/>
    <w:rsid w:val="0018120A"/>
    <w:rsid w:val="0018138D"/>
    <w:rsid w:val="0018157D"/>
    <w:rsid w:val="00182C56"/>
    <w:rsid w:val="00182F0E"/>
    <w:rsid w:val="001833CF"/>
    <w:rsid w:val="0018356F"/>
    <w:rsid w:val="00191111"/>
    <w:rsid w:val="00191A06"/>
    <w:rsid w:val="00192FC2"/>
    <w:rsid w:val="001936E8"/>
    <w:rsid w:val="00194382"/>
    <w:rsid w:val="001950CD"/>
    <w:rsid w:val="00195597"/>
    <w:rsid w:val="00196B6E"/>
    <w:rsid w:val="00196EDA"/>
    <w:rsid w:val="001972B4"/>
    <w:rsid w:val="00197D4A"/>
    <w:rsid w:val="001A04E4"/>
    <w:rsid w:val="001A131E"/>
    <w:rsid w:val="001A1451"/>
    <w:rsid w:val="001A34C9"/>
    <w:rsid w:val="001A379C"/>
    <w:rsid w:val="001A4FE9"/>
    <w:rsid w:val="001A6BA6"/>
    <w:rsid w:val="001B28B4"/>
    <w:rsid w:val="001B2B55"/>
    <w:rsid w:val="001B4DD4"/>
    <w:rsid w:val="001B681D"/>
    <w:rsid w:val="001B6E01"/>
    <w:rsid w:val="001B7A11"/>
    <w:rsid w:val="001C0749"/>
    <w:rsid w:val="001C13A5"/>
    <w:rsid w:val="001C1DCB"/>
    <w:rsid w:val="001C1FE8"/>
    <w:rsid w:val="001C483C"/>
    <w:rsid w:val="001C4E05"/>
    <w:rsid w:val="001C5ABC"/>
    <w:rsid w:val="001C5D26"/>
    <w:rsid w:val="001C73D8"/>
    <w:rsid w:val="001D079A"/>
    <w:rsid w:val="001D0E14"/>
    <w:rsid w:val="001D156A"/>
    <w:rsid w:val="001D27BB"/>
    <w:rsid w:val="001D2A5E"/>
    <w:rsid w:val="001D2C1F"/>
    <w:rsid w:val="001D30B0"/>
    <w:rsid w:val="001D38B5"/>
    <w:rsid w:val="001D3C52"/>
    <w:rsid w:val="001D3DC5"/>
    <w:rsid w:val="001D6890"/>
    <w:rsid w:val="001D6E1D"/>
    <w:rsid w:val="001E486E"/>
    <w:rsid w:val="001E6CCA"/>
    <w:rsid w:val="001F120E"/>
    <w:rsid w:val="001F291B"/>
    <w:rsid w:val="001F2FEC"/>
    <w:rsid w:val="001F42B6"/>
    <w:rsid w:val="001F4C8A"/>
    <w:rsid w:val="001F5FEC"/>
    <w:rsid w:val="001F6231"/>
    <w:rsid w:val="0020012E"/>
    <w:rsid w:val="00200A4A"/>
    <w:rsid w:val="00200D62"/>
    <w:rsid w:val="00201590"/>
    <w:rsid w:val="002017AF"/>
    <w:rsid w:val="002033FC"/>
    <w:rsid w:val="0020424A"/>
    <w:rsid w:val="00210A3A"/>
    <w:rsid w:val="00211356"/>
    <w:rsid w:val="002113AD"/>
    <w:rsid w:val="0021209D"/>
    <w:rsid w:val="0021345D"/>
    <w:rsid w:val="002136E6"/>
    <w:rsid w:val="002168CC"/>
    <w:rsid w:val="00217468"/>
    <w:rsid w:val="002203D8"/>
    <w:rsid w:val="002215B5"/>
    <w:rsid w:val="00222FB6"/>
    <w:rsid w:val="002248AD"/>
    <w:rsid w:val="00224DA7"/>
    <w:rsid w:val="002267F9"/>
    <w:rsid w:val="002269E8"/>
    <w:rsid w:val="002273FD"/>
    <w:rsid w:val="00227E25"/>
    <w:rsid w:val="002315F1"/>
    <w:rsid w:val="00232B30"/>
    <w:rsid w:val="00233F01"/>
    <w:rsid w:val="00233FCC"/>
    <w:rsid w:val="00233FD8"/>
    <w:rsid w:val="00234B27"/>
    <w:rsid w:val="00235A89"/>
    <w:rsid w:val="002410A3"/>
    <w:rsid w:val="00241A9C"/>
    <w:rsid w:val="00242822"/>
    <w:rsid w:val="002440BE"/>
    <w:rsid w:val="00247DA5"/>
    <w:rsid w:val="00250863"/>
    <w:rsid w:val="00251C11"/>
    <w:rsid w:val="00252293"/>
    <w:rsid w:val="00252402"/>
    <w:rsid w:val="002529CD"/>
    <w:rsid w:val="00253EC9"/>
    <w:rsid w:val="00254BED"/>
    <w:rsid w:val="00255CF8"/>
    <w:rsid w:val="0025743A"/>
    <w:rsid w:val="002574F4"/>
    <w:rsid w:val="00260BB2"/>
    <w:rsid w:val="00260E53"/>
    <w:rsid w:val="0026129B"/>
    <w:rsid w:val="002616BF"/>
    <w:rsid w:val="0026267A"/>
    <w:rsid w:val="00262EEF"/>
    <w:rsid w:val="0026316C"/>
    <w:rsid w:val="00263529"/>
    <w:rsid w:val="00263780"/>
    <w:rsid w:val="00263B66"/>
    <w:rsid w:val="00264C1A"/>
    <w:rsid w:val="00265F5A"/>
    <w:rsid w:val="00266022"/>
    <w:rsid w:val="00270671"/>
    <w:rsid w:val="00271040"/>
    <w:rsid w:val="00271EF9"/>
    <w:rsid w:val="002725CD"/>
    <w:rsid w:val="00272BCE"/>
    <w:rsid w:val="0027323E"/>
    <w:rsid w:val="002736E8"/>
    <w:rsid w:val="00273B57"/>
    <w:rsid w:val="00277C20"/>
    <w:rsid w:val="00280E45"/>
    <w:rsid w:val="00282698"/>
    <w:rsid w:val="002826B1"/>
    <w:rsid w:val="00283CDC"/>
    <w:rsid w:val="0028411D"/>
    <w:rsid w:val="002841B8"/>
    <w:rsid w:val="002864D2"/>
    <w:rsid w:val="00286E1B"/>
    <w:rsid w:val="0028717D"/>
    <w:rsid w:val="0028768B"/>
    <w:rsid w:val="00290B10"/>
    <w:rsid w:val="002912F4"/>
    <w:rsid w:val="0029484A"/>
    <w:rsid w:val="00297412"/>
    <w:rsid w:val="002975DF"/>
    <w:rsid w:val="00297D87"/>
    <w:rsid w:val="002A1F07"/>
    <w:rsid w:val="002A21DC"/>
    <w:rsid w:val="002A67D9"/>
    <w:rsid w:val="002B12EF"/>
    <w:rsid w:val="002B3F97"/>
    <w:rsid w:val="002B511D"/>
    <w:rsid w:val="002B55C5"/>
    <w:rsid w:val="002B6030"/>
    <w:rsid w:val="002B6333"/>
    <w:rsid w:val="002B783F"/>
    <w:rsid w:val="002B7EC2"/>
    <w:rsid w:val="002B7ECE"/>
    <w:rsid w:val="002B7FB4"/>
    <w:rsid w:val="002C0DA4"/>
    <w:rsid w:val="002C136D"/>
    <w:rsid w:val="002C1CA5"/>
    <w:rsid w:val="002C2651"/>
    <w:rsid w:val="002C33D2"/>
    <w:rsid w:val="002C3577"/>
    <w:rsid w:val="002C5768"/>
    <w:rsid w:val="002C5904"/>
    <w:rsid w:val="002C62AA"/>
    <w:rsid w:val="002C6B55"/>
    <w:rsid w:val="002C76A8"/>
    <w:rsid w:val="002C7E64"/>
    <w:rsid w:val="002D1F84"/>
    <w:rsid w:val="002D37E0"/>
    <w:rsid w:val="002D3B40"/>
    <w:rsid w:val="002D3CB8"/>
    <w:rsid w:val="002D5117"/>
    <w:rsid w:val="002D6A71"/>
    <w:rsid w:val="002D7650"/>
    <w:rsid w:val="002D7EAF"/>
    <w:rsid w:val="002E016A"/>
    <w:rsid w:val="002E0C23"/>
    <w:rsid w:val="002E177E"/>
    <w:rsid w:val="002E17D9"/>
    <w:rsid w:val="002E3321"/>
    <w:rsid w:val="002E4A31"/>
    <w:rsid w:val="002E5280"/>
    <w:rsid w:val="002E6680"/>
    <w:rsid w:val="002E66CC"/>
    <w:rsid w:val="002E7235"/>
    <w:rsid w:val="002E7349"/>
    <w:rsid w:val="002F18E7"/>
    <w:rsid w:val="002F1C1B"/>
    <w:rsid w:val="002F2A6C"/>
    <w:rsid w:val="002F2F59"/>
    <w:rsid w:val="002F5465"/>
    <w:rsid w:val="002F585D"/>
    <w:rsid w:val="002F64DD"/>
    <w:rsid w:val="002F6778"/>
    <w:rsid w:val="0030113A"/>
    <w:rsid w:val="00301D2E"/>
    <w:rsid w:val="00301D6B"/>
    <w:rsid w:val="00302B57"/>
    <w:rsid w:val="003042CA"/>
    <w:rsid w:val="00304BA9"/>
    <w:rsid w:val="00305163"/>
    <w:rsid w:val="00305273"/>
    <w:rsid w:val="0030548D"/>
    <w:rsid w:val="00305C42"/>
    <w:rsid w:val="00306C25"/>
    <w:rsid w:val="003077C5"/>
    <w:rsid w:val="00307A6A"/>
    <w:rsid w:val="0031106F"/>
    <w:rsid w:val="003147D9"/>
    <w:rsid w:val="00314B18"/>
    <w:rsid w:val="00316D76"/>
    <w:rsid w:val="0031714E"/>
    <w:rsid w:val="00320057"/>
    <w:rsid w:val="00320389"/>
    <w:rsid w:val="0032121F"/>
    <w:rsid w:val="003214F9"/>
    <w:rsid w:val="00321A5E"/>
    <w:rsid w:val="00322BEA"/>
    <w:rsid w:val="00323228"/>
    <w:rsid w:val="00323746"/>
    <w:rsid w:val="0032413C"/>
    <w:rsid w:val="003245B1"/>
    <w:rsid w:val="00324781"/>
    <w:rsid w:val="0032587D"/>
    <w:rsid w:val="003312B1"/>
    <w:rsid w:val="00331B77"/>
    <w:rsid w:val="00331D61"/>
    <w:rsid w:val="00332117"/>
    <w:rsid w:val="0033244D"/>
    <w:rsid w:val="0033252B"/>
    <w:rsid w:val="003328A4"/>
    <w:rsid w:val="003336DE"/>
    <w:rsid w:val="00333877"/>
    <w:rsid w:val="003338E9"/>
    <w:rsid w:val="00334DA4"/>
    <w:rsid w:val="00336A25"/>
    <w:rsid w:val="00336E87"/>
    <w:rsid w:val="00340E0B"/>
    <w:rsid w:val="003412B8"/>
    <w:rsid w:val="00341359"/>
    <w:rsid w:val="00341D61"/>
    <w:rsid w:val="00344052"/>
    <w:rsid w:val="003440CB"/>
    <w:rsid w:val="00345F04"/>
    <w:rsid w:val="0034650B"/>
    <w:rsid w:val="003467BC"/>
    <w:rsid w:val="003472DF"/>
    <w:rsid w:val="003528E8"/>
    <w:rsid w:val="0035311D"/>
    <w:rsid w:val="00355BD8"/>
    <w:rsid w:val="003567D9"/>
    <w:rsid w:val="00357AD8"/>
    <w:rsid w:val="00361A18"/>
    <w:rsid w:val="003628B1"/>
    <w:rsid w:val="00363A0C"/>
    <w:rsid w:val="003641FB"/>
    <w:rsid w:val="003644CD"/>
    <w:rsid w:val="00365D86"/>
    <w:rsid w:val="00365F35"/>
    <w:rsid w:val="00366CA9"/>
    <w:rsid w:val="00367B20"/>
    <w:rsid w:val="00367FDF"/>
    <w:rsid w:val="00370265"/>
    <w:rsid w:val="0037059E"/>
    <w:rsid w:val="00372034"/>
    <w:rsid w:val="0037224A"/>
    <w:rsid w:val="003725B6"/>
    <w:rsid w:val="003737ED"/>
    <w:rsid w:val="00373EC1"/>
    <w:rsid w:val="00376865"/>
    <w:rsid w:val="00376B52"/>
    <w:rsid w:val="003770B5"/>
    <w:rsid w:val="00384296"/>
    <w:rsid w:val="0038438F"/>
    <w:rsid w:val="00384A66"/>
    <w:rsid w:val="0039010F"/>
    <w:rsid w:val="003904A0"/>
    <w:rsid w:val="00390523"/>
    <w:rsid w:val="0039059B"/>
    <w:rsid w:val="00390DF4"/>
    <w:rsid w:val="00391031"/>
    <w:rsid w:val="00392375"/>
    <w:rsid w:val="0039284A"/>
    <w:rsid w:val="00392CD0"/>
    <w:rsid w:val="0039365E"/>
    <w:rsid w:val="003936D0"/>
    <w:rsid w:val="00394704"/>
    <w:rsid w:val="003952AA"/>
    <w:rsid w:val="00395FE1"/>
    <w:rsid w:val="003974A8"/>
    <w:rsid w:val="003A06E6"/>
    <w:rsid w:val="003A0A2A"/>
    <w:rsid w:val="003A181E"/>
    <w:rsid w:val="003A19F0"/>
    <w:rsid w:val="003A2E50"/>
    <w:rsid w:val="003A3392"/>
    <w:rsid w:val="003A45FE"/>
    <w:rsid w:val="003A4F6F"/>
    <w:rsid w:val="003A6281"/>
    <w:rsid w:val="003A6975"/>
    <w:rsid w:val="003B0B8A"/>
    <w:rsid w:val="003B368D"/>
    <w:rsid w:val="003C046A"/>
    <w:rsid w:val="003C44A4"/>
    <w:rsid w:val="003D25F3"/>
    <w:rsid w:val="003D285A"/>
    <w:rsid w:val="003D2CE7"/>
    <w:rsid w:val="003D5E63"/>
    <w:rsid w:val="003D63C1"/>
    <w:rsid w:val="003D646E"/>
    <w:rsid w:val="003D6D09"/>
    <w:rsid w:val="003E0F79"/>
    <w:rsid w:val="003E3112"/>
    <w:rsid w:val="003E3408"/>
    <w:rsid w:val="003E446F"/>
    <w:rsid w:val="003E46BD"/>
    <w:rsid w:val="003E4CF7"/>
    <w:rsid w:val="003E4D37"/>
    <w:rsid w:val="003E582B"/>
    <w:rsid w:val="003E5BA9"/>
    <w:rsid w:val="003E5E1B"/>
    <w:rsid w:val="003E608C"/>
    <w:rsid w:val="003E7A11"/>
    <w:rsid w:val="003F00E4"/>
    <w:rsid w:val="003F3433"/>
    <w:rsid w:val="003F40A8"/>
    <w:rsid w:val="003F4DAD"/>
    <w:rsid w:val="003F4EED"/>
    <w:rsid w:val="003F50A1"/>
    <w:rsid w:val="003F5DBD"/>
    <w:rsid w:val="003F724E"/>
    <w:rsid w:val="003F7A37"/>
    <w:rsid w:val="00400F0F"/>
    <w:rsid w:val="00402DD1"/>
    <w:rsid w:val="0040522A"/>
    <w:rsid w:val="00405574"/>
    <w:rsid w:val="0040648A"/>
    <w:rsid w:val="004069CA"/>
    <w:rsid w:val="00406D41"/>
    <w:rsid w:val="00407476"/>
    <w:rsid w:val="004113B1"/>
    <w:rsid w:val="0041240E"/>
    <w:rsid w:val="00414314"/>
    <w:rsid w:val="0041444E"/>
    <w:rsid w:val="004166DE"/>
    <w:rsid w:val="00416B44"/>
    <w:rsid w:val="00420034"/>
    <w:rsid w:val="00420C7B"/>
    <w:rsid w:val="00420F32"/>
    <w:rsid w:val="00420F4B"/>
    <w:rsid w:val="00423616"/>
    <w:rsid w:val="00423F7A"/>
    <w:rsid w:val="004248A7"/>
    <w:rsid w:val="00426222"/>
    <w:rsid w:val="004277BF"/>
    <w:rsid w:val="00431AD4"/>
    <w:rsid w:val="00431AF1"/>
    <w:rsid w:val="00431C29"/>
    <w:rsid w:val="00432D19"/>
    <w:rsid w:val="0043304F"/>
    <w:rsid w:val="00434D52"/>
    <w:rsid w:val="00435E69"/>
    <w:rsid w:val="00437091"/>
    <w:rsid w:val="00437585"/>
    <w:rsid w:val="00442EB5"/>
    <w:rsid w:val="00443C20"/>
    <w:rsid w:val="00444A43"/>
    <w:rsid w:val="00445D68"/>
    <w:rsid w:val="004470D4"/>
    <w:rsid w:val="00447710"/>
    <w:rsid w:val="00447E3F"/>
    <w:rsid w:val="00450A32"/>
    <w:rsid w:val="00451B31"/>
    <w:rsid w:val="00451F02"/>
    <w:rsid w:val="004539F2"/>
    <w:rsid w:val="00455082"/>
    <w:rsid w:val="0045725D"/>
    <w:rsid w:val="0046086D"/>
    <w:rsid w:val="00461BDF"/>
    <w:rsid w:val="00461D05"/>
    <w:rsid w:val="00462AFB"/>
    <w:rsid w:val="00463741"/>
    <w:rsid w:val="00463F7D"/>
    <w:rsid w:val="00466ABE"/>
    <w:rsid w:val="00466F81"/>
    <w:rsid w:val="00471974"/>
    <w:rsid w:val="00471CBE"/>
    <w:rsid w:val="00472FBC"/>
    <w:rsid w:val="00473A63"/>
    <w:rsid w:val="00474477"/>
    <w:rsid w:val="00474B05"/>
    <w:rsid w:val="00475A5C"/>
    <w:rsid w:val="004820F2"/>
    <w:rsid w:val="00483F35"/>
    <w:rsid w:val="00484F30"/>
    <w:rsid w:val="0048597F"/>
    <w:rsid w:val="00485E02"/>
    <w:rsid w:val="00490486"/>
    <w:rsid w:val="004916C4"/>
    <w:rsid w:val="0049234B"/>
    <w:rsid w:val="0049431F"/>
    <w:rsid w:val="004966E4"/>
    <w:rsid w:val="004967D4"/>
    <w:rsid w:val="004A2808"/>
    <w:rsid w:val="004A415F"/>
    <w:rsid w:val="004A6590"/>
    <w:rsid w:val="004B0C1D"/>
    <w:rsid w:val="004B172E"/>
    <w:rsid w:val="004B218D"/>
    <w:rsid w:val="004B2394"/>
    <w:rsid w:val="004B2A97"/>
    <w:rsid w:val="004B2B99"/>
    <w:rsid w:val="004B4697"/>
    <w:rsid w:val="004B4FB5"/>
    <w:rsid w:val="004B58FC"/>
    <w:rsid w:val="004B5BAE"/>
    <w:rsid w:val="004B6223"/>
    <w:rsid w:val="004B6F5F"/>
    <w:rsid w:val="004B7D90"/>
    <w:rsid w:val="004B7EA9"/>
    <w:rsid w:val="004C0019"/>
    <w:rsid w:val="004C03AC"/>
    <w:rsid w:val="004C03E0"/>
    <w:rsid w:val="004C0A4E"/>
    <w:rsid w:val="004C1F44"/>
    <w:rsid w:val="004C20E3"/>
    <w:rsid w:val="004C282A"/>
    <w:rsid w:val="004C4345"/>
    <w:rsid w:val="004C5624"/>
    <w:rsid w:val="004D01D2"/>
    <w:rsid w:val="004D08BF"/>
    <w:rsid w:val="004D1132"/>
    <w:rsid w:val="004D2BE0"/>
    <w:rsid w:val="004D2D47"/>
    <w:rsid w:val="004D2EA3"/>
    <w:rsid w:val="004D315C"/>
    <w:rsid w:val="004D426E"/>
    <w:rsid w:val="004D432D"/>
    <w:rsid w:val="004D4970"/>
    <w:rsid w:val="004D5A4E"/>
    <w:rsid w:val="004E0076"/>
    <w:rsid w:val="004E0F5F"/>
    <w:rsid w:val="004E2293"/>
    <w:rsid w:val="004E2358"/>
    <w:rsid w:val="004E3D94"/>
    <w:rsid w:val="004E40D5"/>
    <w:rsid w:val="004E4244"/>
    <w:rsid w:val="004E5D1A"/>
    <w:rsid w:val="004E6E20"/>
    <w:rsid w:val="004E742A"/>
    <w:rsid w:val="004E7CDA"/>
    <w:rsid w:val="004F1205"/>
    <w:rsid w:val="004F2532"/>
    <w:rsid w:val="004F2B49"/>
    <w:rsid w:val="004F476E"/>
    <w:rsid w:val="004F50A5"/>
    <w:rsid w:val="004F543A"/>
    <w:rsid w:val="004F6C80"/>
    <w:rsid w:val="004F79A7"/>
    <w:rsid w:val="004F7BFA"/>
    <w:rsid w:val="00503E19"/>
    <w:rsid w:val="00504F05"/>
    <w:rsid w:val="00507B71"/>
    <w:rsid w:val="00510101"/>
    <w:rsid w:val="005102EF"/>
    <w:rsid w:val="00510456"/>
    <w:rsid w:val="005112B4"/>
    <w:rsid w:val="00511926"/>
    <w:rsid w:val="00512507"/>
    <w:rsid w:val="0051319D"/>
    <w:rsid w:val="005141BA"/>
    <w:rsid w:val="00514EFA"/>
    <w:rsid w:val="00516686"/>
    <w:rsid w:val="005173D7"/>
    <w:rsid w:val="00517826"/>
    <w:rsid w:val="005216BF"/>
    <w:rsid w:val="00521EBB"/>
    <w:rsid w:val="005258D9"/>
    <w:rsid w:val="005270E1"/>
    <w:rsid w:val="005277D3"/>
    <w:rsid w:val="00530332"/>
    <w:rsid w:val="00530425"/>
    <w:rsid w:val="0053083D"/>
    <w:rsid w:val="005309D9"/>
    <w:rsid w:val="00530C30"/>
    <w:rsid w:val="00531B87"/>
    <w:rsid w:val="0053248D"/>
    <w:rsid w:val="00532CB2"/>
    <w:rsid w:val="00534C72"/>
    <w:rsid w:val="0053617C"/>
    <w:rsid w:val="005406B7"/>
    <w:rsid w:val="0054076F"/>
    <w:rsid w:val="00542AE2"/>
    <w:rsid w:val="00543A57"/>
    <w:rsid w:val="0054442C"/>
    <w:rsid w:val="00545636"/>
    <w:rsid w:val="0054726D"/>
    <w:rsid w:val="005479D5"/>
    <w:rsid w:val="00547B3E"/>
    <w:rsid w:val="00553F51"/>
    <w:rsid w:val="0055580B"/>
    <w:rsid w:val="00555AF6"/>
    <w:rsid w:val="00555CB5"/>
    <w:rsid w:val="005560E8"/>
    <w:rsid w:val="0055756C"/>
    <w:rsid w:val="00561166"/>
    <w:rsid w:val="00562F1E"/>
    <w:rsid w:val="00563A7D"/>
    <w:rsid w:val="005652CD"/>
    <w:rsid w:val="00565978"/>
    <w:rsid w:val="00566785"/>
    <w:rsid w:val="005668BE"/>
    <w:rsid w:val="00573149"/>
    <w:rsid w:val="00574E1E"/>
    <w:rsid w:val="00575887"/>
    <w:rsid w:val="005766EC"/>
    <w:rsid w:val="00577DF5"/>
    <w:rsid w:val="00580557"/>
    <w:rsid w:val="0058116E"/>
    <w:rsid w:val="0058152B"/>
    <w:rsid w:val="005815C8"/>
    <w:rsid w:val="00581884"/>
    <w:rsid w:val="0058345B"/>
    <w:rsid w:val="00583B71"/>
    <w:rsid w:val="00587438"/>
    <w:rsid w:val="00587D2D"/>
    <w:rsid w:val="00591A1B"/>
    <w:rsid w:val="00593A02"/>
    <w:rsid w:val="00593A90"/>
    <w:rsid w:val="00596406"/>
    <w:rsid w:val="005A0EA0"/>
    <w:rsid w:val="005A3E39"/>
    <w:rsid w:val="005A3EE6"/>
    <w:rsid w:val="005A551B"/>
    <w:rsid w:val="005A5820"/>
    <w:rsid w:val="005A68CD"/>
    <w:rsid w:val="005A6DA5"/>
    <w:rsid w:val="005A7079"/>
    <w:rsid w:val="005A7D24"/>
    <w:rsid w:val="005B217F"/>
    <w:rsid w:val="005B33E3"/>
    <w:rsid w:val="005B3424"/>
    <w:rsid w:val="005B3834"/>
    <w:rsid w:val="005B3A42"/>
    <w:rsid w:val="005B3B97"/>
    <w:rsid w:val="005B4009"/>
    <w:rsid w:val="005B44CA"/>
    <w:rsid w:val="005B5E17"/>
    <w:rsid w:val="005B66CB"/>
    <w:rsid w:val="005B7854"/>
    <w:rsid w:val="005C12AF"/>
    <w:rsid w:val="005C164D"/>
    <w:rsid w:val="005C27F0"/>
    <w:rsid w:val="005C2CCE"/>
    <w:rsid w:val="005C4E53"/>
    <w:rsid w:val="005C54F8"/>
    <w:rsid w:val="005C67D6"/>
    <w:rsid w:val="005D06A3"/>
    <w:rsid w:val="005D11D5"/>
    <w:rsid w:val="005D2628"/>
    <w:rsid w:val="005D2819"/>
    <w:rsid w:val="005D281B"/>
    <w:rsid w:val="005D29DB"/>
    <w:rsid w:val="005D311B"/>
    <w:rsid w:val="005D4192"/>
    <w:rsid w:val="005D4358"/>
    <w:rsid w:val="005D499E"/>
    <w:rsid w:val="005E023C"/>
    <w:rsid w:val="005E1D22"/>
    <w:rsid w:val="005E2E0D"/>
    <w:rsid w:val="005E3FE5"/>
    <w:rsid w:val="005E4048"/>
    <w:rsid w:val="005E40BC"/>
    <w:rsid w:val="005E443D"/>
    <w:rsid w:val="005E48EC"/>
    <w:rsid w:val="005E7E4C"/>
    <w:rsid w:val="005F1933"/>
    <w:rsid w:val="005F194E"/>
    <w:rsid w:val="005F227E"/>
    <w:rsid w:val="005F25DD"/>
    <w:rsid w:val="005F40CF"/>
    <w:rsid w:val="005F4F6A"/>
    <w:rsid w:val="005F7C26"/>
    <w:rsid w:val="0060012F"/>
    <w:rsid w:val="00600198"/>
    <w:rsid w:val="00602CE7"/>
    <w:rsid w:val="00602F8F"/>
    <w:rsid w:val="00604109"/>
    <w:rsid w:val="00605261"/>
    <w:rsid w:val="006108E1"/>
    <w:rsid w:val="00610950"/>
    <w:rsid w:val="00610A65"/>
    <w:rsid w:val="0061195E"/>
    <w:rsid w:val="00612E69"/>
    <w:rsid w:val="00613725"/>
    <w:rsid w:val="00613A42"/>
    <w:rsid w:val="00615659"/>
    <w:rsid w:val="006172A3"/>
    <w:rsid w:val="00620671"/>
    <w:rsid w:val="00623566"/>
    <w:rsid w:val="00624BEA"/>
    <w:rsid w:val="0062619E"/>
    <w:rsid w:val="00626386"/>
    <w:rsid w:val="00631B32"/>
    <w:rsid w:val="00631C62"/>
    <w:rsid w:val="006322D7"/>
    <w:rsid w:val="00632CB8"/>
    <w:rsid w:val="00633AED"/>
    <w:rsid w:val="0063401C"/>
    <w:rsid w:val="00635E78"/>
    <w:rsid w:val="006367CA"/>
    <w:rsid w:val="00636AFF"/>
    <w:rsid w:val="00642F5C"/>
    <w:rsid w:val="0064314F"/>
    <w:rsid w:val="00643E55"/>
    <w:rsid w:val="00647374"/>
    <w:rsid w:val="00647AEB"/>
    <w:rsid w:val="00650B5C"/>
    <w:rsid w:val="0065211E"/>
    <w:rsid w:val="00652870"/>
    <w:rsid w:val="00657C8F"/>
    <w:rsid w:val="00660CF7"/>
    <w:rsid w:val="00661A5A"/>
    <w:rsid w:val="0066226E"/>
    <w:rsid w:val="00662A1D"/>
    <w:rsid w:val="00662EDC"/>
    <w:rsid w:val="00665BE7"/>
    <w:rsid w:val="0067003C"/>
    <w:rsid w:val="006705A2"/>
    <w:rsid w:val="006717A8"/>
    <w:rsid w:val="006727AF"/>
    <w:rsid w:val="00674A75"/>
    <w:rsid w:val="006757DD"/>
    <w:rsid w:val="00676FB8"/>
    <w:rsid w:val="0068012F"/>
    <w:rsid w:val="006801FC"/>
    <w:rsid w:val="00680B80"/>
    <w:rsid w:val="00682FAC"/>
    <w:rsid w:val="00683687"/>
    <w:rsid w:val="006903F4"/>
    <w:rsid w:val="006919E1"/>
    <w:rsid w:val="00695042"/>
    <w:rsid w:val="00695043"/>
    <w:rsid w:val="00695311"/>
    <w:rsid w:val="00695812"/>
    <w:rsid w:val="006958D5"/>
    <w:rsid w:val="00695902"/>
    <w:rsid w:val="00695984"/>
    <w:rsid w:val="006972E5"/>
    <w:rsid w:val="006A0115"/>
    <w:rsid w:val="006A1C39"/>
    <w:rsid w:val="006A1DE9"/>
    <w:rsid w:val="006A2C4A"/>
    <w:rsid w:val="006A3994"/>
    <w:rsid w:val="006A53F6"/>
    <w:rsid w:val="006A6A4C"/>
    <w:rsid w:val="006A7034"/>
    <w:rsid w:val="006A7300"/>
    <w:rsid w:val="006A7914"/>
    <w:rsid w:val="006B0B35"/>
    <w:rsid w:val="006B10EA"/>
    <w:rsid w:val="006B1733"/>
    <w:rsid w:val="006B1DA4"/>
    <w:rsid w:val="006B1F1E"/>
    <w:rsid w:val="006B31DE"/>
    <w:rsid w:val="006B3707"/>
    <w:rsid w:val="006B611B"/>
    <w:rsid w:val="006B636F"/>
    <w:rsid w:val="006B647A"/>
    <w:rsid w:val="006C06AD"/>
    <w:rsid w:val="006C1ACF"/>
    <w:rsid w:val="006C1F4E"/>
    <w:rsid w:val="006C20C4"/>
    <w:rsid w:val="006C468A"/>
    <w:rsid w:val="006C49FD"/>
    <w:rsid w:val="006C529A"/>
    <w:rsid w:val="006C5657"/>
    <w:rsid w:val="006C566D"/>
    <w:rsid w:val="006C610D"/>
    <w:rsid w:val="006C7855"/>
    <w:rsid w:val="006C786E"/>
    <w:rsid w:val="006C7F0E"/>
    <w:rsid w:val="006D1537"/>
    <w:rsid w:val="006D1948"/>
    <w:rsid w:val="006D1DC9"/>
    <w:rsid w:val="006D3135"/>
    <w:rsid w:val="006D3405"/>
    <w:rsid w:val="006D410A"/>
    <w:rsid w:val="006D4875"/>
    <w:rsid w:val="006E1F9B"/>
    <w:rsid w:val="006E39E5"/>
    <w:rsid w:val="006E52CB"/>
    <w:rsid w:val="006E64B5"/>
    <w:rsid w:val="006E6569"/>
    <w:rsid w:val="006E68FF"/>
    <w:rsid w:val="006E69F4"/>
    <w:rsid w:val="006E7223"/>
    <w:rsid w:val="006E75AD"/>
    <w:rsid w:val="006F06AD"/>
    <w:rsid w:val="006F0962"/>
    <w:rsid w:val="006F1967"/>
    <w:rsid w:val="006F3D5D"/>
    <w:rsid w:val="006F47ED"/>
    <w:rsid w:val="006F56F5"/>
    <w:rsid w:val="0070100C"/>
    <w:rsid w:val="00701063"/>
    <w:rsid w:val="0070160C"/>
    <w:rsid w:val="00702035"/>
    <w:rsid w:val="0070208C"/>
    <w:rsid w:val="007043FB"/>
    <w:rsid w:val="00704A9B"/>
    <w:rsid w:val="00704D0D"/>
    <w:rsid w:val="00704D42"/>
    <w:rsid w:val="00704DF0"/>
    <w:rsid w:val="00705208"/>
    <w:rsid w:val="00711107"/>
    <w:rsid w:val="00712C21"/>
    <w:rsid w:val="00714BAB"/>
    <w:rsid w:val="0071709D"/>
    <w:rsid w:val="007204D1"/>
    <w:rsid w:val="00720938"/>
    <w:rsid w:val="007217CC"/>
    <w:rsid w:val="00723098"/>
    <w:rsid w:val="0072331C"/>
    <w:rsid w:val="007236D1"/>
    <w:rsid w:val="007238BE"/>
    <w:rsid w:val="00724E0F"/>
    <w:rsid w:val="00725143"/>
    <w:rsid w:val="00725620"/>
    <w:rsid w:val="00725AD5"/>
    <w:rsid w:val="00725F08"/>
    <w:rsid w:val="007302E7"/>
    <w:rsid w:val="0073279C"/>
    <w:rsid w:val="00732869"/>
    <w:rsid w:val="00732B1F"/>
    <w:rsid w:val="00732FE3"/>
    <w:rsid w:val="00733824"/>
    <w:rsid w:val="00733E2A"/>
    <w:rsid w:val="007357CC"/>
    <w:rsid w:val="00735EC0"/>
    <w:rsid w:val="007360E8"/>
    <w:rsid w:val="007363DB"/>
    <w:rsid w:val="00736BDD"/>
    <w:rsid w:val="007374FD"/>
    <w:rsid w:val="00737E1A"/>
    <w:rsid w:val="0074049D"/>
    <w:rsid w:val="0074082E"/>
    <w:rsid w:val="00740E84"/>
    <w:rsid w:val="007418A7"/>
    <w:rsid w:val="00741FEC"/>
    <w:rsid w:val="00746022"/>
    <w:rsid w:val="007462A3"/>
    <w:rsid w:val="007517AD"/>
    <w:rsid w:val="00751BCB"/>
    <w:rsid w:val="007520A3"/>
    <w:rsid w:val="007524EB"/>
    <w:rsid w:val="0075394D"/>
    <w:rsid w:val="0075479C"/>
    <w:rsid w:val="00756E8A"/>
    <w:rsid w:val="00757BAD"/>
    <w:rsid w:val="00760202"/>
    <w:rsid w:val="007620C2"/>
    <w:rsid w:val="00766795"/>
    <w:rsid w:val="007670F5"/>
    <w:rsid w:val="007677CF"/>
    <w:rsid w:val="007679ED"/>
    <w:rsid w:val="007706D8"/>
    <w:rsid w:val="00771FF1"/>
    <w:rsid w:val="00772455"/>
    <w:rsid w:val="00773924"/>
    <w:rsid w:val="00775236"/>
    <w:rsid w:val="0077523B"/>
    <w:rsid w:val="00775569"/>
    <w:rsid w:val="00776747"/>
    <w:rsid w:val="00780899"/>
    <w:rsid w:val="007816AC"/>
    <w:rsid w:val="0078230A"/>
    <w:rsid w:val="007830AE"/>
    <w:rsid w:val="00783199"/>
    <w:rsid w:val="00783D14"/>
    <w:rsid w:val="00784F38"/>
    <w:rsid w:val="00786BE1"/>
    <w:rsid w:val="00787CEB"/>
    <w:rsid w:val="00790701"/>
    <w:rsid w:val="0079096E"/>
    <w:rsid w:val="0079279D"/>
    <w:rsid w:val="00792CD7"/>
    <w:rsid w:val="00793FC2"/>
    <w:rsid w:val="00795FD0"/>
    <w:rsid w:val="00797128"/>
    <w:rsid w:val="00797CB3"/>
    <w:rsid w:val="007A00E3"/>
    <w:rsid w:val="007A0558"/>
    <w:rsid w:val="007A0C9F"/>
    <w:rsid w:val="007A0D1D"/>
    <w:rsid w:val="007A1ED7"/>
    <w:rsid w:val="007A3FDD"/>
    <w:rsid w:val="007A4058"/>
    <w:rsid w:val="007A5B73"/>
    <w:rsid w:val="007A6238"/>
    <w:rsid w:val="007A6658"/>
    <w:rsid w:val="007A6D88"/>
    <w:rsid w:val="007B2BF8"/>
    <w:rsid w:val="007B3DE5"/>
    <w:rsid w:val="007B4F30"/>
    <w:rsid w:val="007B5BB2"/>
    <w:rsid w:val="007B60D0"/>
    <w:rsid w:val="007B658B"/>
    <w:rsid w:val="007B6C90"/>
    <w:rsid w:val="007B7F8C"/>
    <w:rsid w:val="007C0B7A"/>
    <w:rsid w:val="007C182B"/>
    <w:rsid w:val="007C3717"/>
    <w:rsid w:val="007C40EF"/>
    <w:rsid w:val="007C492F"/>
    <w:rsid w:val="007C53A7"/>
    <w:rsid w:val="007C7064"/>
    <w:rsid w:val="007C7891"/>
    <w:rsid w:val="007C7A4F"/>
    <w:rsid w:val="007D08CE"/>
    <w:rsid w:val="007D1582"/>
    <w:rsid w:val="007D2279"/>
    <w:rsid w:val="007D290E"/>
    <w:rsid w:val="007D2999"/>
    <w:rsid w:val="007D2D5F"/>
    <w:rsid w:val="007D379C"/>
    <w:rsid w:val="007D60A7"/>
    <w:rsid w:val="007D6C4A"/>
    <w:rsid w:val="007D7271"/>
    <w:rsid w:val="007E1AAB"/>
    <w:rsid w:val="007E1E3A"/>
    <w:rsid w:val="007E316B"/>
    <w:rsid w:val="007E455D"/>
    <w:rsid w:val="007E4954"/>
    <w:rsid w:val="007E4DF0"/>
    <w:rsid w:val="007E573A"/>
    <w:rsid w:val="007E68C9"/>
    <w:rsid w:val="007F02E2"/>
    <w:rsid w:val="007F06D3"/>
    <w:rsid w:val="007F0930"/>
    <w:rsid w:val="007F216A"/>
    <w:rsid w:val="007F4EED"/>
    <w:rsid w:val="007F54AD"/>
    <w:rsid w:val="007F60A5"/>
    <w:rsid w:val="007F6A60"/>
    <w:rsid w:val="007F7401"/>
    <w:rsid w:val="00802066"/>
    <w:rsid w:val="0080271D"/>
    <w:rsid w:val="00803E0E"/>
    <w:rsid w:val="00804545"/>
    <w:rsid w:val="008046F8"/>
    <w:rsid w:val="00805B6C"/>
    <w:rsid w:val="00806258"/>
    <w:rsid w:val="00806518"/>
    <w:rsid w:val="00806890"/>
    <w:rsid w:val="00806B8B"/>
    <w:rsid w:val="00807B71"/>
    <w:rsid w:val="008107D9"/>
    <w:rsid w:val="0081179C"/>
    <w:rsid w:val="00811858"/>
    <w:rsid w:val="008131D4"/>
    <w:rsid w:val="0081360A"/>
    <w:rsid w:val="00813A45"/>
    <w:rsid w:val="008142EF"/>
    <w:rsid w:val="00815B38"/>
    <w:rsid w:val="00816624"/>
    <w:rsid w:val="00816FFB"/>
    <w:rsid w:val="00817E7F"/>
    <w:rsid w:val="00822220"/>
    <w:rsid w:val="00822814"/>
    <w:rsid w:val="00823763"/>
    <w:rsid w:val="0082385D"/>
    <w:rsid w:val="00823E6B"/>
    <w:rsid w:val="00825AAE"/>
    <w:rsid w:val="00825DAF"/>
    <w:rsid w:val="00826743"/>
    <w:rsid w:val="00826DE6"/>
    <w:rsid w:val="00827CAB"/>
    <w:rsid w:val="00830B52"/>
    <w:rsid w:val="008335C7"/>
    <w:rsid w:val="008349F6"/>
    <w:rsid w:val="00835443"/>
    <w:rsid w:val="0083724D"/>
    <w:rsid w:val="008402A7"/>
    <w:rsid w:val="00844045"/>
    <w:rsid w:val="00846794"/>
    <w:rsid w:val="00847DA7"/>
    <w:rsid w:val="008501B5"/>
    <w:rsid w:val="00850B2E"/>
    <w:rsid w:val="008609A9"/>
    <w:rsid w:val="008611A3"/>
    <w:rsid w:val="008624B9"/>
    <w:rsid w:val="00863441"/>
    <w:rsid w:val="008655A7"/>
    <w:rsid w:val="0086693C"/>
    <w:rsid w:val="00866B26"/>
    <w:rsid w:val="008702B8"/>
    <w:rsid w:val="00870C71"/>
    <w:rsid w:val="008712A9"/>
    <w:rsid w:val="008728E4"/>
    <w:rsid w:val="00873B59"/>
    <w:rsid w:val="008740EB"/>
    <w:rsid w:val="00874E49"/>
    <w:rsid w:val="0087550E"/>
    <w:rsid w:val="00875804"/>
    <w:rsid w:val="008759BF"/>
    <w:rsid w:val="00881AB5"/>
    <w:rsid w:val="00881ED3"/>
    <w:rsid w:val="00882190"/>
    <w:rsid w:val="00882759"/>
    <w:rsid w:val="00882B42"/>
    <w:rsid w:val="00883CE6"/>
    <w:rsid w:val="008847E2"/>
    <w:rsid w:val="008854B4"/>
    <w:rsid w:val="008856DD"/>
    <w:rsid w:val="0088644A"/>
    <w:rsid w:val="00886A04"/>
    <w:rsid w:val="00886F6B"/>
    <w:rsid w:val="008912CA"/>
    <w:rsid w:val="00896AC3"/>
    <w:rsid w:val="008A30DB"/>
    <w:rsid w:val="008A32F7"/>
    <w:rsid w:val="008A3F5D"/>
    <w:rsid w:val="008A4815"/>
    <w:rsid w:val="008A55D1"/>
    <w:rsid w:val="008A7FF4"/>
    <w:rsid w:val="008B0DFF"/>
    <w:rsid w:val="008B288D"/>
    <w:rsid w:val="008B3736"/>
    <w:rsid w:val="008B3DBF"/>
    <w:rsid w:val="008B4F26"/>
    <w:rsid w:val="008B5383"/>
    <w:rsid w:val="008B546A"/>
    <w:rsid w:val="008B6BF9"/>
    <w:rsid w:val="008C0B5F"/>
    <w:rsid w:val="008C0EA7"/>
    <w:rsid w:val="008C3CCE"/>
    <w:rsid w:val="008C4055"/>
    <w:rsid w:val="008C4C00"/>
    <w:rsid w:val="008C5313"/>
    <w:rsid w:val="008C5CE1"/>
    <w:rsid w:val="008C66D3"/>
    <w:rsid w:val="008C72D4"/>
    <w:rsid w:val="008C77CC"/>
    <w:rsid w:val="008D07E0"/>
    <w:rsid w:val="008D2189"/>
    <w:rsid w:val="008D36E4"/>
    <w:rsid w:val="008D3A41"/>
    <w:rsid w:val="008D4F2D"/>
    <w:rsid w:val="008D5362"/>
    <w:rsid w:val="008D5B65"/>
    <w:rsid w:val="008D785D"/>
    <w:rsid w:val="008D7B06"/>
    <w:rsid w:val="008D7E13"/>
    <w:rsid w:val="008E0A6D"/>
    <w:rsid w:val="008E16FD"/>
    <w:rsid w:val="008E2283"/>
    <w:rsid w:val="008E540E"/>
    <w:rsid w:val="008E64F0"/>
    <w:rsid w:val="008E78A6"/>
    <w:rsid w:val="008E7B0B"/>
    <w:rsid w:val="008F0428"/>
    <w:rsid w:val="008F0DEB"/>
    <w:rsid w:val="008F105F"/>
    <w:rsid w:val="008F2310"/>
    <w:rsid w:val="008F2D88"/>
    <w:rsid w:val="008F2FD3"/>
    <w:rsid w:val="008F553F"/>
    <w:rsid w:val="008F5ED1"/>
    <w:rsid w:val="008F6839"/>
    <w:rsid w:val="008F71BB"/>
    <w:rsid w:val="008F7365"/>
    <w:rsid w:val="008F757E"/>
    <w:rsid w:val="008F765F"/>
    <w:rsid w:val="008F77CD"/>
    <w:rsid w:val="008F7C88"/>
    <w:rsid w:val="009002AD"/>
    <w:rsid w:val="009005FF"/>
    <w:rsid w:val="00900EF8"/>
    <w:rsid w:val="00904D33"/>
    <w:rsid w:val="00905811"/>
    <w:rsid w:val="00906DFA"/>
    <w:rsid w:val="00907BC7"/>
    <w:rsid w:val="00907CD7"/>
    <w:rsid w:val="00910257"/>
    <w:rsid w:val="00911A2B"/>
    <w:rsid w:val="00912753"/>
    <w:rsid w:val="00915672"/>
    <w:rsid w:val="00916355"/>
    <w:rsid w:val="00920C34"/>
    <w:rsid w:val="00921418"/>
    <w:rsid w:val="00922A3F"/>
    <w:rsid w:val="00923F76"/>
    <w:rsid w:val="009277F7"/>
    <w:rsid w:val="0093022F"/>
    <w:rsid w:val="00930370"/>
    <w:rsid w:val="00932F26"/>
    <w:rsid w:val="00936050"/>
    <w:rsid w:val="00936A76"/>
    <w:rsid w:val="00937035"/>
    <w:rsid w:val="00941FA0"/>
    <w:rsid w:val="009421C9"/>
    <w:rsid w:val="009427A3"/>
    <w:rsid w:val="0094370B"/>
    <w:rsid w:val="00943B8F"/>
    <w:rsid w:val="009448FF"/>
    <w:rsid w:val="00944A80"/>
    <w:rsid w:val="0094557A"/>
    <w:rsid w:val="00945D5D"/>
    <w:rsid w:val="00945DA4"/>
    <w:rsid w:val="0094782A"/>
    <w:rsid w:val="00950700"/>
    <w:rsid w:val="00952045"/>
    <w:rsid w:val="00953BEF"/>
    <w:rsid w:val="009558FB"/>
    <w:rsid w:val="00957FED"/>
    <w:rsid w:val="0096033C"/>
    <w:rsid w:val="009617EA"/>
    <w:rsid w:val="00961C63"/>
    <w:rsid w:val="0096546E"/>
    <w:rsid w:val="009670EE"/>
    <w:rsid w:val="00967F5A"/>
    <w:rsid w:val="00970B21"/>
    <w:rsid w:val="00971B15"/>
    <w:rsid w:val="00972045"/>
    <w:rsid w:val="009721F3"/>
    <w:rsid w:val="00972F99"/>
    <w:rsid w:val="00974C24"/>
    <w:rsid w:val="00976180"/>
    <w:rsid w:val="00981FC0"/>
    <w:rsid w:val="00981FFC"/>
    <w:rsid w:val="00984AD2"/>
    <w:rsid w:val="009865CA"/>
    <w:rsid w:val="0098716A"/>
    <w:rsid w:val="00987724"/>
    <w:rsid w:val="00990365"/>
    <w:rsid w:val="009916A1"/>
    <w:rsid w:val="0099192D"/>
    <w:rsid w:val="00991C40"/>
    <w:rsid w:val="009952B5"/>
    <w:rsid w:val="009953C2"/>
    <w:rsid w:val="009A0AD2"/>
    <w:rsid w:val="009A0D43"/>
    <w:rsid w:val="009A1191"/>
    <w:rsid w:val="009A2AAF"/>
    <w:rsid w:val="009A3B8B"/>
    <w:rsid w:val="009A3BDB"/>
    <w:rsid w:val="009A581E"/>
    <w:rsid w:val="009A5F8C"/>
    <w:rsid w:val="009A7E0D"/>
    <w:rsid w:val="009B03BD"/>
    <w:rsid w:val="009B08E6"/>
    <w:rsid w:val="009B0B52"/>
    <w:rsid w:val="009B1FE1"/>
    <w:rsid w:val="009B2982"/>
    <w:rsid w:val="009B44BC"/>
    <w:rsid w:val="009B7D74"/>
    <w:rsid w:val="009C05A7"/>
    <w:rsid w:val="009C0843"/>
    <w:rsid w:val="009C0D52"/>
    <w:rsid w:val="009C338D"/>
    <w:rsid w:val="009C4B18"/>
    <w:rsid w:val="009C593E"/>
    <w:rsid w:val="009C7E1B"/>
    <w:rsid w:val="009D33B2"/>
    <w:rsid w:val="009D3F00"/>
    <w:rsid w:val="009D5FF9"/>
    <w:rsid w:val="009D7D2B"/>
    <w:rsid w:val="009E0192"/>
    <w:rsid w:val="009E1172"/>
    <w:rsid w:val="009E412D"/>
    <w:rsid w:val="009E45DE"/>
    <w:rsid w:val="009E725A"/>
    <w:rsid w:val="009F0472"/>
    <w:rsid w:val="009F055C"/>
    <w:rsid w:val="009F22C4"/>
    <w:rsid w:val="009F300E"/>
    <w:rsid w:val="009F324E"/>
    <w:rsid w:val="009F396E"/>
    <w:rsid w:val="009F4849"/>
    <w:rsid w:val="009F66E7"/>
    <w:rsid w:val="009F6D19"/>
    <w:rsid w:val="00A01A69"/>
    <w:rsid w:val="00A03074"/>
    <w:rsid w:val="00A042C1"/>
    <w:rsid w:val="00A047AA"/>
    <w:rsid w:val="00A0494A"/>
    <w:rsid w:val="00A05671"/>
    <w:rsid w:val="00A05C73"/>
    <w:rsid w:val="00A06056"/>
    <w:rsid w:val="00A06433"/>
    <w:rsid w:val="00A06D0B"/>
    <w:rsid w:val="00A07624"/>
    <w:rsid w:val="00A07959"/>
    <w:rsid w:val="00A07A41"/>
    <w:rsid w:val="00A117BE"/>
    <w:rsid w:val="00A1195B"/>
    <w:rsid w:val="00A11BAD"/>
    <w:rsid w:val="00A12937"/>
    <w:rsid w:val="00A13CF6"/>
    <w:rsid w:val="00A13D7E"/>
    <w:rsid w:val="00A1474D"/>
    <w:rsid w:val="00A16284"/>
    <w:rsid w:val="00A178F8"/>
    <w:rsid w:val="00A17D18"/>
    <w:rsid w:val="00A20F77"/>
    <w:rsid w:val="00A20FA5"/>
    <w:rsid w:val="00A21066"/>
    <w:rsid w:val="00A2161B"/>
    <w:rsid w:val="00A22036"/>
    <w:rsid w:val="00A23894"/>
    <w:rsid w:val="00A24244"/>
    <w:rsid w:val="00A302FF"/>
    <w:rsid w:val="00A30695"/>
    <w:rsid w:val="00A30827"/>
    <w:rsid w:val="00A3115E"/>
    <w:rsid w:val="00A3225B"/>
    <w:rsid w:val="00A34BDB"/>
    <w:rsid w:val="00A34C5A"/>
    <w:rsid w:val="00A36C4D"/>
    <w:rsid w:val="00A36EDE"/>
    <w:rsid w:val="00A379BB"/>
    <w:rsid w:val="00A37DBD"/>
    <w:rsid w:val="00A43582"/>
    <w:rsid w:val="00A45AB7"/>
    <w:rsid w:val="00A55F1B"/>
    <w:rsid w:val="00A570B5"/>
    <w:rsid w:val="00A577BB"/>
    <w:rsid w:val="00A6055B"/>
    <w:rsid w:val="00A6334E"/>
    <w:rsid w:val="00A635DD"/>
    <w:rsid w:val="00A63C60"/>
    <w:rsid w:val="00A64810"/>
    <w:rsid w:val="00A65A70"/>
    <w:rsid w:val="00A7238A"/>
    <w:rsid w:val="00A72432"/>
    <w:rsid w:val="00A7268E"/>
    <w:rsid w:val="00A73120"/>
    <w:rsid w:val="00A73B2F"/>
    <w:rsid w:val="00A75084"/>
    <w:rsid w:val="00A75244"/>
    <w:rsid w:val="00A77F71"/>
    <w:rsid w:val="00A81C49"/>
    <w:rsid w:val="00A831F0"/>
    <w:rsid w:val="00A8436E"/>
    <w:rsid w:val="00A8567C"/>
    <w:rsid w:val="00A85DED"/>
    <w:rsid w:val="00A872D6"/>
    <w:rsid w:val="00A87418"/>
    <w:rsid w:val="00A909F2"/>
    <w:rsid w:val="00A9199E"/>
    <w:rsid w:val="00A92772"/>
    <w:rsid w:val="00A92805"/>
    <w:rsid w:val="00A92F48"/>
    <w:rsid w:val="00A93841"/>
    <w:rsid w:val="00A95305"/>
    <w:rsid w:val="00A957CF"/>
    <w:rsid w:val="00A95A7B"/>
    <w:rsid w:val="00A97A53"/>
    <w:rsid w:val="00A97BF8"/>
    <w:rsid w:val="00AA065D"/>
    <w:rsid w:val="00AA0BD5"/>
    <w:rsid w:val="00AA4AA3"/>
    <w:rsid w:val="00AA65C9"/>
    <w:rsid w:val="00AB013E"/>
    <w:rsid w:val="00AB1FAF"/>
    <w:rsid w:val="00AB2B37"/>
    <w:rsid w:val="00AB52BA"/>
    <w:rsid w:val="00AB74D0"/>
    <w:rsid w:val="00AC10E4"/>
    <w:rsid w:val="00AC2C3A"/>
    <w:rsid w:val="00AC35B9"/>
    <w:rsid w:val="00AC4AD5"/>
    <w:rsid w:val="00AC596C"/>
    <w:rsid w:val="00AC7C10"/>
    <w:rsid w:val="00AD03CC"/>
    <w:rsid w:val="00AD0C0F"/>
    <w:rsid w:val="00AD1D4B"/>
    <w:rsid w:val="00AD3D05"/>
    <w:rsid w:val="00AD6CD9"/>
    <w:rsid w:val="00AE011B"/>
    <w:rsid w:val="00AE0585"/>
    <w:rsid w:val="00AE1A45"/>
    <w:rsid w:val="00AE1B71"/>
    <w:rsid w:val="00AE2364"/>
    <w:rsid w:val="00AE2A0E"/>
    <w:rsid w:val="00AE2A68"/>
    <w:rsid w:val="00AE469B"/>
    <w:rsid w:val="00AE4D2A"/>
    <w:rsid w:val="00AE5C81"/>
    <w:rsid w:val="00AE6F7A"/>
    <w:rsid w:val="00AE7467"/>
    <w:rsid w:val="00AF0F4D"/>
    <w:rsid w:val="00AF1A06"/>
    <w:rsid w:val="00AF34A8"/>
    <w:rsid w:val="00AF35AE"/>
    <w:rsid w:val="00AF64E0"/>
    <w:rsid w:val="00AF72C1"/>
    <w:rsid w:val="00AF7B0D"/>
    <w:rsid w:val="00B004DD"/>
    <w:rsid w:val="00B0051A"/>
    <w:rsid w:val="00B030F5"/>
    <w:rsid w:val="00B06380"/>
    <w:rsid w:val="00B06999"/>
    <w:rsid w:val="00B0747E"/>
    <w:rsid w:val="00B079AE"/>
    <w:rsid w:val="00B13429"/>
    <w:rsid w:val="00B13706"/>
    <w:rsid w:val="00B145B3"/>
    <w:rsid w:val="00B15745"/>
    <w:rsid w:val="00B16F4A"/>
    <w:rsid w:val="00B17EE3"/>
    <w:rsid w:val="00B2039D"/>
    <w:rsid w:val="00B20482"/>
    <w:rsid w:val="00B26AE1"/>
    <w:rsid w:val="00B30706"/>
    <w:rsid w:val="00B32A17"/>
    <w:rsid w:val="00B32C4A"/>
    <w:rsid w:val="00B32CAD"/>
    <w:rsid w:val="00B33CB6"/>
    <w:rsid w:val="00B33D76"/>
    <w:rsid w:val="00B34089"/>
    <w:rsid w:val="00B36CAE"/>
    <w:rsid w:val="00B3742E"/>
    <w:rsid w:val="00B376C6"/>
    <w:rsid w:val="00B37728"/>
    <w:rsid w:val="00B40163"/>
    <w:rsid w:val="00B40844"/>
    <w:rsid w:val="00B40889"/>
    <w:rsid w:val="00B41C4A"/>
    <w:rsid w:val="00B41DA3"/>
    <w:rsid w:val="00B42240"/>
    <w:rsid w:val="00B42BA7"/>
    <w:rsid w:val="00B430BA"/>
    <w:rsid w:val="00B432BA"/>
    <w:rsid w:val="00B438DD"/>
    <w:rsid w:val="00B43E3B"/>
    <w:rsid w:val="00B470AC"/>
    <w:rsid w:val="00B51446"/>
    <w:rsid w:val="00B51AB8"/>
    <w:rsid w:val="00B52738"/>
    <w:rsid w:val="00B534C3"/>
    <w:rsid w:val="00B547FD"/>
    <w:rsid w:val="00B55390"/>
    <w:rsid w:val="00B5632C"/>
    <w:rsid w:val="00B603DB"/>
    <w:rsid w:val="00B61058"/>
    <w:rsid w:val="00B6194F"/>
    <w:rsid w:val="00B61FEF"/>
    <w:rsid w:val="00B6279D"/>
    <w:rsid w:val="00B63200"/>
    <w:rsid w:val="00B63991"/>
    <w:rsid w:val="00B6492C"/>
    <w:rsid w:val="00B650F1"/>
    <w:rsid w:val="00B6649C"/>
    <w:rsid w:val="00B66611"/>
    <w:rsid w:val="00B66A26"/>
    <w:rsid w:val="00B67E5A"/>
    <w:rsid w:val="00B7008B"/>
    <w:rsid w:val="00B71912"/>
    <w:rsid w:val="00B71B1B"/>
    <w:rsid w:val="00B71F5B"/>
    <w:rsid w:val="00B72C44"/>
    <w:rsid w:val="00B73288"/>
    <w:rsid w:val="00B73E5E"/>
    <w:rsid w:val="00B740F6"/>
    <w:rsid w:val="00B74156"/>
    <w:rsid w:val="00B74987"/>
    <w:rsid w:val="00B77274"/>
    <w:rsid w:val="00B7734D"/>
    <w:rsid w:val="00B80469"/>
    <w:rsid w:val="00B80D5B"/>
    <w:rsid w:val="00B8104A"/>
    <w:rsid w:val="00B828FA"/>
    <w:rsid w:val="00B82B73"/>
    <w:rsid w:val="00B83F9F"/>
    <w:rsid w:val="00B8450B"/>
    <w:rsid w:val="00B86EAA"/>
    <w:rsid w:val="00B90093"/>
    <w:rsid w:val="00B90729"/>
    <w:rsid w:val="00B923B1"/>
    <w:rsid w:val="00B92F38"/>
    <w:rsid w:val="00B93014"/>
    <w:rsid w:val="00B93398"/>
    <w:rsid w:val="00B938F3"/>
    <w:rsid w:val="00B93A0C"/>
    <w:rsid w:val="00B95F21"/>
    <w:rsid w:val="00B9776D"/>
    <w:rsid w:val="00B97C8E"/>
    <w:rsid w:val="00B97E63"/>
    <w:rsid w:val="00BA289C"/>
    <w:rsid w:val="00BA3AE7"/>
    <w:rsid w:val="00BA3CB9"/>
    <w:rsid w:val="00BA3FF9"/>
    <w:rsid w:val="00BA4604"/>
    <w:rsid w:val="00BA463A"/>
    <w:rsid w:val="00BA6233"/>
    <w:rsid w:val="00BA6241"/>
    <w:rsid w:val="00BB0DDB"/>
    <w:rsid w:val="00BB0E51"/>
    <w:rsid w:val="00BB16F5"/>
    <w:rsid w:val="00BB375F"/>
    <w:rsid w:val="00BB3DD6"/>
    <w:rsid w:val="00BB4CEA"/>
    <w:rsid w:val="00BB5AD8"/>
    <w:rsid w:val="00BB6475"/>
    <w:rsid w:val="00BB6D77"/>
    <w:rsid w:val="00BB6F9C"/>
    <w:rsid w:val="00BB7B99"/>
    <w:rsid w:val="00BC2845"/>
    <w:rsid w:val="00BC3267"/>
    <w:rsid w:val="00BC615C"/>
    <w:rsid w:val="00BC755C"/>
    <w:rsid w:val="00BC7680"/>
    <w:rsid w:val="00BC76D1"/>
    <w:rsid w:val="00BC7741"/>
    <w:rsid w:val="00BD1E4F"/>
    <w:rsid w:val="00BD2C73"/>
    <w:rsid w:val="00BD2F62"/>
    <w:rsid w:val="00BD397A"/>
    <w:rsid w:val="00BD428D"/>
    <w:rsid w:val="00BD466E"/>
    <w:rsid w:val="00BD50A9"/>
    <w:rsid w:val="00BD6403"/>
    <w:rsid w:val="00BE11BE"/>
    <w:rsid w:val="00BE25A4"/>
    <w:rsid w:val="00BE2A65"/>
    <w:rsid w:val="00BE32FE"/>
    <w:rsid w:val="00BE58FF"/>
    <w:rsid w:val="00BE593D"/>
    <w:rsid w:val="00BE6DBE"/>
    <w:rsid w:val="00BF0672"/>
    <w:rsid w:val="00BF23F2"/>
    <w:rsid w:val="00BF29CF"/>
    <w:rsid w:val="00BF327B"/>
    <w:rsid w:val="00BF3FCF"/>
    <w:rsid w:val="00BF7977"/>
    <w:rsid w:val="00C00FDE"/>
    <w:rsid w:val="00C011D7"/>
    <w:rsid w:val="00C014F2"/>
    <w:rsid w:val="00C03AB3"/>
    <w:rsid w:val="00C03B88"/>
    <w:rsid w:val="00C04AC2"/>
    <w:rsid w:val="00C0520C"/>
    <w:rsid w:val="00C05DA7"/>
    <w:rsid w:val="00C07F01"/>
    <w:rsid w:val="00C07FBE"/>
    <w:rsid w:val="00C10C04"/>
    <w:rsid w:val="00C12119"/>
    <w:rsid w:val="00C15659"/>
    <w:rsid w:val="00C162EA"/>
    <w:rsid w:val="00C1640D"/>
    <w:rsid w:val="00C16EB5"/>
    <w:rsid w:val="00C208C2"/>
    <w:rsid w:val="00C220DC"/>
    <w:rsid w:val="00C23547"/>
    <w:rsid w:val="00C23DBC"/>
    <w:rsid w:val="00C25A25"/>
    <w:rsid w:val="00C2609D"/>
    <w:rsid w:val="00C268E1"/>
    <w:rsid w:val="00C26C8F"/>
    <w:rsid w:val="00C27646"/>
    <w:rsid w:val="00C27A9A"/>
    <w:rsid w:val="00C31C6B"/>
    <w:rsid w:val="00C320EA"/>
    <w:rsid w:val="00C32E5A"/>
    <w:rsid w:val="00C344C5"/>
    <w:rsid w:val="00C3740C"/>
    <w:rsid w:val="00C3761E"/>
    <w:rsid w:val="00C412C9"/>
    <w:rsid w:val="00C43194"/>
    <w:rsid w:val="00C43BD5"/>
    <w:rsid w:val="00C44F59"/>
    <w:rsid w:val="00C4666C"/>
    <w:rsid w:val="00C4685B"/>
    <w:rsid w:val="00C46BB6"/>
    <w:rsid w:val="00C47746"/>
    <w:rsid w:val="00C47BAF"/>
    <w:rsid w:val="00C47EBE"/>
    <w:rsid w:val="00C5076B"/>
    <w:rsid w:val="00C50C5B"/>
    <w:rsid w:val="00C5109C"/>
    <w:rsid w:val="00C511CB"/>
    <w:rsid w:val="00C51C91"/>
    <w:rsid w:val="00C51EAF"/>
    <w:rsid w:val="00C51F68"/>
    <w:rsid w:val="00C5284D"/>
    <w:rsid w:val="00C52B50"/>
    <w:rsid w:val="00C5421E"/>
    <w:rsid w:val="00C55F51"/>
    <w:rsid w:val="00C5790A"/>
    <w:rsid w:val="00C6028D"/>
    <w:rsid w:val="00C607A2"/>
    <w:rsid w:val="00C61622"/>
    <w:rsid w:val="00C61CE1"/>
    <w:rsid w:val="00C6287C"/>
    <w:rsid w:val="00C628D9"/>
    <w:rsid w:val="00C63CEA"/>
    <w:rsid w:val="00C64B15"/>
    <w:rsid w:val="00C659BE"/>
    <w:rsid w:val="00C6641E"/>
    <w:rsid w:val="00C6672A"/>
    <w:rsid w:val="00C6697B"/>
    <w:rsid w:val="00C66A3D"/>
    <w:rsid w:val="00C672FB"/>
    <w:rsid w:val="00C70245"/>
    <w:rsid w:val="00C7083B"/>
    <w:rsid w:val="00C72BCA"/>
    <w:rsid w:val="00C73D0A"/>
    <w:rsid w:val="00C73FCD"/>
    <w:rsid w:val="00C7446F"/>
    <w:rsid w:val="00C75287"/>
    <w:rsid w:val="00C75D66"/>
    <w:rsid w:val="00C765F5"/>
    <w:rsid w:val="00C8047D"/>
    <w:rsid w:val="00C804F0"/>
    <w:rsid w:val="00C8050E"/>
    <w:rsid w:val="00C8116D"/>
    <w:rsid w:val="00C81D10"/>
    <w:rsid w:val="00C831E7"/>
    <w:rsid w:val="00C873AF"/>
    <w:rsid w:val="00C90426"/>
    <w:rsid w:val="00C92219"/>
    <w:rsid w:val="00C9259C"/>
    <w:rsid w:val="00C925A8"/>
    <w:rsid w:val="00C94091"/>
    <w:rsid w:val="00C947CB"/>
    <w:rsid w:val="00C95848"/>
    <w:rsid w:val="00CA0AD8"/>
    <w:rsid w:val="00CA107E"/>
    <w:rsid w:val="00CA28E4"/>
    <w:rsid w:val="00CA309E"/>
    <w:rsid w:val="00CA3599"/>
    <w:rsid w:val="00CA3998"/>
    <w:rsid w:val="00CA3A53"/>
    <w:rsid w:val="00CA5719"/>
    <w:rsid w:val="00CA59A4"/>
    <w:rsid w:val="00CA6A0B"/>
    <w:rsid w:val="00CA75BC"/>
    <w:rsid w:val="00CB07C0"/>
    <w:rsid w:val="00CB16C4"/>
    <w:rsid w:val="00CB2863"/>
    <w:rsid w:val="00CB29B7"/>
    <w:rsid w:val="00CB2EA6"/>
    <w:rsid w:val="00CB4CED"/>
    <w:rsid w:val="00CB7C57"/>
    <w:rsid w:val="00CC1866"/>
    <w:rsid w:val="00CC2AA2"/>
    <w:rsid w:val="00CC4BD9"/>
    <w:rsid w:val="00CC4DD1"/>
    <w:rsid w:val="00CC689D"/>
    <w:rsid w:val="00CC6A46"/>
    <w:rsid w:val="00CC6C2B"/>
    <w:rsid w:val="00CD16A1"/>
    <w:rsid w:val="00CD1BD0"/>
    <w:rsid w:val="00CD1CA6"/>
    <w:rsid w:val="00CD4B53"/>
    <w:rsid w:val="00CD536E"/>
    <w:rsid w:val="00CD69FF"/>
    <w:rsid w:val="00CD6FB5"/>
    <w:rsid w:val="00CD7B53"/>
    <w:rsid w:val="00CE00E9"/>
    <w:rsid w:val="00CE157C"/>
    <w:rsid w:val="00CE18A7"/>
    <w:rsid w:val="00CE309B"/>
    <w:rsid w:val="00CE32D7"/>
    <w:rsid w:val="00CE46E7"/>
    <w:rsid w:val="00CE4728"/>
    <w:rsid w:val="00CE54F0"/>
    <w:rsid w:val="00CE6A9D"/>
    <w:rsid w:val="00CE7379"/>
    <w:rsid w:val="00CF290A"/>
    <w:rsid w:val="00CF2C6B"/>
    <w:rsid w:val="00CF2FF8"/>
    <w:rsid w:val="00CF37E9"/>
    <w:rsid w:val="00CF427D"/>
    <w:rsid w:val="00CF726D"/>
    <w:rsid w:val="00D0026A"/>
    <w:rsid w:val="00D00BEB"/>
    <w:rsid w:val="00D011AA"/>
    <w:rsid w:val="00D019C7"/>
    <w:rsid w:val="00D040F2"/>
    <w:rsid w:val="00D04F53"/>
    <w:rsid w:val="00D05240"/>
    <w:rsid w:val="00D060D7"/>
    <w:rsid w:val="00D0720E"/>
    <w:rsid w:val="00D11DF5"/>
    <w:rsid w:val="00D120ED"/>
    <w:rsid w:val="00D135CD"/>
    <w:rsid w:val="00D14665"/>
    <w:rsid w:val="00D14DD3"/>
    <w:rsid w:val="00D15BA8"/>
    <w:rsid w:val="00D15DAC"/>
    <w:rsid w:val="00D16BDE"/>
    <w:rsid w:val="00D16D72"/>
    <w:rsid w:val="00D17855"/>
    <w:rsid w:val="00D22317"/>
    <w:rsid w:val="00D232D8"/>
    <w:rsid w:val="00D249D5"/>
    <w:rsid w:val="00D24C02"/>
    <w:rsid w:val="00D254EA"/>
    <w:rsid w:val="00D26A92"/>
    <w:rsid w:val="00D27223"/>
    <w:rsid w:val="00D27615"/>
    <w:rsid w:val="00D30BB4"/>
    <w:rsid w:val="00D31FBD"/>
    <w:rsid w:val="00D3357D"/>
    <w:rsid w:val="00D33B64"/>
    <w:rsid w:val="00D36478"/>
    <w:rsid w:val="00D36DEA"/>
    <w:rsid w:val="00D36E3C"/>
    <w:rsid w:val="00D37DBF"/>
    <w:rsid w:val="00D42B77"/>
    <w:rsid w:val="00D42FD7"/>
    <w:rsid w:val="00D4369C"/>
    <w:rsid w:val="00D437F6"/>
    <w:rsid w:val="00D43953"/>
    <w:rsid w:val="00D44319"/>
    <w:rsid w:val="00D45AC1"/>
    <w:rsid w:val="00D46D76"/>
    <w:rsid w:val="00D50092"/>
    <w:rsid w:val="00D50955"/>
    <w:rsid w:val="00D51633"/>
    <w:rsid w:val="00D522DA"/>
    <w:rsid w:val="00D528AD"/>
    <w:rsid w:val="00D55330"/>
    <w:rsid w:val="00D5745E"/>
    <w:rsid w:val="00D60285"/>
    <w:rsid w:val="00D62BF1"/>
    <w:rsid w:val="00D62E9B"/>
    <w:rsid w:val="00D63602"/>
    <w:rsid w:val="00D642DF"/>
    <w:rsid w:val="00D64374"/>
    <w:rsid w:val="00D64CCB"/>
    <w:rsid w:val="00D64EE3"/>
    <w:rsid w:val="00D656CA"/>
    <w:rsid w:val="00D65EB5"/>
    <w:rsid w:val="00D6625F"/>
    <w:rsid w:val="00D71114"/>
    <w:rsid w:val="00D723B5"/>
    <w:rsid w:val="00D729D3"/>
    <w:rsid w:val="00D72E13"/>
    <w:rsid w:val="00D74380"/>
    <w:rsid w:val="00D7505B"/>
    <w:rsid w:val="00D75544"/>
    <w:rsid w:val="00D75AFC"/>
    <w:rsid w:val="00D8124E"/>
    <w:rsid w:val="00D82FFB"/>
    <w:rsid w:val="00D8522C"/>
    <w:rsid w:val="00D862B8"/>
    <w:rsid w:val="00D86437"/>
    <w:rsid w:val="00D86991"/>
    <w:rsid w:val="00D913E8"/>
    <w:rsid w:val="00D91762"/>
    <w:rsid w:val="00D92A8D"/>
    <w:rsid w:val="00D92BEB"/>
    <w:rsid w:val="00D93064"/>
    <w:rsid w:val="00D9427A"/>
    <w:rsid w:val="00D94441"/>
    <w:rsid w:val="00D951F7"/>
    <w:rsid w:val="00D965EF"/>
    <w:rsid w:val="00D97465"/>
    <w:rsid w:val="00D976EF"/>
    <w:rsid w:val="00D97DE2"/>
    <w:rsid w:val="00D97EB4"/>
    <w:rsid w:val="00DA0522"/>
    <w:rsid w:val="00DA0DA8"/>
    <w:rsid w:val="00DA1416"/>
    <w:rsid w:val="00DA425F"/>
    <w:rsid w:val="00DA4703"/>
    <w:rsid w:val="00DA49FD"/>
    <w:rsid w:val="00DA5EF4"/>
    <w:rsid w:val="00DA65C2"/>
    <w:rsid w:val="00DA67C9"/>
    <w:rsid w:val="00DA7223"/>
    <w:rsid w:val="00DA7298"/>
    <w:rsid w:val="00DB29FD"/>
    <w:rsid w:val="00DB2BEE"/>
    <w:rsid w:val="00DB2E4C"/>
    <w:rsid w:val="00DB40DF"/>
    <w:rsid w:val="00DB4416"/>
    <w:rsid w:val="00DB5F80"/>
    <w:rsid w:val="00DC12F3"/>
    <w:rsid w:val="00DC3573"/>
    <w:rsid w:val="00DC53DA"/>
    <w:rsid w:val="00DD0111"/>
    <w:rsid w:val="00DD4D43"/>
    <w:rsid w:val="00DD54D6"/>
    <w:rsid w:val="00DD6F3C"/>
    <w:rsid w:val="00DD706E"/>
    <w:rsid w:val="00DD7E0E"/>
    <w:rsid w:val="00DE0350"/>
    <w:rsid w:val="00DE0E51"/>
    <w:rsid w:val="00DE0F56"/>
    <w:rsid w:val="00DE3A9E"/>
    <w:rsid w:val="00DE3AEF"/>
    <w:rsid w:val="00DE3E08"/>
    <w:rsid w:val="00DE411A"/>
    <w:rsid w:val="00DE7EB2"/>
    <w:rsid w:val="00DF0121"/>
    <w:rsid w:val="00DF0170"/>
    <w:rsid w:val="00DF0B1B"/>
    <w:rsid w:val="00DF1138"/>
    <w:rsid w:val="00DF1268"/>
    <w:rsid w:val="00DF1FCE"/>
    <w:rsid w:val="00DF2EC6"/>
    <w:rsid w:val="00DF38E5"/>
    <w:rsid w:val="00DF3A89"/>
    <w:rsid w:val="00DF4E33"/>
    <w:rsid w:val="00DF4EFE"/>
    <w:rsid w:val="00DF4F12"/>
    <w:rsid w:val="00DF5877"/>
    <w:rsid w:val="00DF5B22"/>
    <w:rsid w:val="00DF5F6F"/>
    <w:rsid w:val="00DF6169"/>
    <w:rsid w:val="00DF637F"/>
    <w:rsid w:val="00DF7436"/>
    <w:rsid w:val="00DF7F94"/>
    <w:rsid w:val="00E0260B"/>
    <w:rsid w:val="00E02FA8"/>
    <w:rsid w:val="00E0460A"/>
    <w:rsid w:val="00E068BE"/>
    <w:rsid w:val="00E10FCA"/>
    <w:rsid w:val="00E11342"/>
    <w:rsid w:val="00E131AD"/>
    <w:rsid w:val="00E14E42"/>
    <w:rsid w:val="00E15C91"/>
    <w:rsid w:val="00E160B6"/>
    <w:rsid w:val="00E168F8"/>
    <w:rsid w:val="00E16BA7"/>
    <w:rsid w:val="00E16BE2"/>
    <w:rsid w:val="00E202DC"/>
    <w:rsid w:val="00E21A0E"/>
    <w:rsid w:val="00E2508C"/>
    <w:rsid w:val="00E27E73"/>
    <w:rsid w:val="00E3051F"/>
    <w:rsid w:val="00E30E18"/>
    <w:rsid w:val="00E31081"/>
    <w:rsid w:val="00E31413"/>
    <w:rsid w:val="00E31947"/>
    <w:rsid w:val="00E3277F"/>
    <w:rsid w:val="00E33B85"/>
    <w:rsid w:val="00E33E37"/>
    <w:rsid w:val="00E354A5"/>
    <w:rsid w:val="00E3603D"/>
    <w:rsid w:val="00E414A5"/>
    <w:rsid w:val="00E41A08"/>
    <w:rsid w:val="00E41B99"/>
    <w:rsid w:val="00E45B97"/>
    <w:rsid w:val="00E505BC"/>
    <w:rsid w:val="00E507B6"/>
    <w:rsid w:val="00E50C31"/>
    <w:rsid w:val="00E520E3"/>
    <w:rsid w:val="00E534EB"/>
    <w:rsid w:val="00E53790"/>
    <w:rsid w:val="00E53AE3"/>
    <w:rsid w:val="00E5656E"/>
    <w:rsid w:val="00E57D84"/>
    <w:rsid w:val="00E60A02"/>
    <w:rsid w:val="00E60A87"/>
    <w:rsid w:val="00E62BAB"/>
    <w:rsid w:val="00E62E97"/>
    <w:rsid w:val="00E639BB"/>
    <w:rsid w:val="00E63DB9"/>
    <w:rsid w:val="00E63F20"/>
    <w:rsid w:val="00E6454E"/>
    <w:rsid w:val="00E64ACA"/>
    <w:rsid w:val="00E64C9F"/>
    <w:rsid w:val="00E65E71"/>
    <w:rsid w:val="00E662D4"/>
    <w:rsid w:val="00E671B1"/>
    <w:rsid w:val="00E672E5"/>
    <w:rsid w:val="00E705AC"/>
    <w:rsid w:val="00E70A1B"/>
    <w:rsid w:val="00E70E47"/>
    <w:rsid w:val="00E70FF5"/>
    <w:rsid w:val="00E715BB"/>
    <w:rsid w:val="00E72849"/>
    <w:rsid w:val="00E72DDB"/>
    <w:rsid w:val="00E74153"/>
    <w:rsid w:val="00E75906"/>
    <w:rsid w:val="00E77337"/>
    <w:rsid w:val="00E77D8E"/>
    <w:rsid w:val="00E831A9"/>
    <w:rsid w:val="00E83E5B"/>
    <w:rsid w:val="00E84F22"/>
    <w:rsid w:val="00E85439"/>
    <w:rsid w:val="00E86D30"/>
    <w:rsid w:val="00E87454"/>
    <w:rsid w:val="00E96A04"/>
    <w:rsid w:val="00E96DF0"/>
    <w:rsid w:val="00E975D2"/>
    <w:rsid w:val="00EA12CE"/>
    <w:rsid w:val="00EA406B"/>
    <w:rsid w:val="00EA4A90"/>
    <w:rsid w:val="00EA56D6"/>
    <w:rsid w:val="00EA6A33"/>
    <w:rsid w:val="00EB19E2"/>
    <w:rsid w:val="00EB48BD"/>
    <w:rsid w:val="00EB4AF5"/>
    <w:rsid w:val="00EB5AC0"/>
    <w:rsid w:val="00EB6B92"/>
    <w:rsid w:val="00EB7C3A"/>
    <w:rsid w:val="00EB7FC8"/>
    <w:rsid w:val="00EC115D"/>
    <w:rsid w:val="00EC228B"/>
    <w:rsid w:val="00EC2687"/>
    <w:rsid w:val="00EC447B"/>
    <w:rsid w:val="00EC5A10"/>
    <w:rsid w:val="00EC5B0E"/>
    <w:rsid w:val="00ED0106"/>
    <w:rsid w:val="00ED108D"/>
    <w:rsid w:val="00ED2B97"/>
    <w:rsid w:val="00ED2D7B"/>
    <w:rsid w:val="00ED31B8"/>
    <w:rsid w:val="00ED356D"/>
    <w:rsid w:val="00ED5097"/>
    <w:rsid w:val="00ED56DD"/>
    <w:rsid w:val="00ED6F45"/>
    <w:rsid w:val="00EE1EBF"/>
    <w:rsid w:val="00EE2BBA"/>
    <w:rsid w:val="00EE3C9F"/>
    <w:rsid w:val="00EE41D3"/>
    <w:rsid w:val="00EE4C5C"/>
    <w:rsid w:val="00EE547C"/>
    <w:rsid w:val="00EE6B0C"/>
    <w:rsid w:val="00EF01C0"/>
    <w:rsid w:val="00EF0F4E"/>
    <w:rsid w:val="00EF24A4"/>
    <w:rsid w:val="00EF3B41"/>
    <w:rsid w:val="00EF6C0F"/>
    <w:rsid w:val="00EF761F"/>
    <w:rsid w:val="00EF78DE"/>
    <w:rsid w:val="00EF7B42"/>
    <w:rsid w:val="00EF7EF5"/>
    <w:rsid w:val="00F00AB1"/>
    <w:rsid w:val="00F00B4F"/>
    <w:rsid w:val="00F02019"/>
    <w:rsid w:val="00F02468"/>
    <w:rsid w:val="00F0285C"/>
    <w:rsid w:val="00F0434C"/>
    <w:rsid w:val="00F04B12"/>
    <w:rsid w:val="00F075BA"/>
    <w:rsid w:val="00F1077B"/>
    <w:rsid w:val="00F10825"/>
    <w:rsid w:val="00F13039"/>
    <w:rsid w:val="00F1545F"/>
    <w:rsid w:val="00F16581"/>
    <w:rsid w:val="00F165EC"/>
    <w:rsid w:val="00F172AD"/>
    <w:rsid w:val="00F20D74"/>
    <w:rsid w:val="00F224B3"/>
    <w:rsid w:val="00F22FF8"/>
    <w:rsid w:val="00F2421C"/>
    <w:rsid w:val="00F24C34"/>
    <w:rsid w:val="00F26156"/>
    <w:rsid w:val="00F26162"/>
    <w:rsid w:val="00F262A9"/>
    <w:rsid w:val="00F27D4B"/>
    <w:rsid w:val="00F30FAD"/>
    <w:rsid w:val="00F320E3"/>
    <w:rsid w:val="00F3416F"/>
    <w:rsid w:val="00F34ACE"/>
    <w:rsid w:val="00F3503C"/>
    <w:rsid w:val="00F352DD"/>
    <w:rsid w:val="00F359B4"/>
    <w:rsid w:val="00F3612F"/>
    <w:rsid w:val="00F36EC8"/>
    <w:rsid w:val="00F376CE"/>
    <w:rsid w:val="00F37C6F"/>
    <w:rsid w:val="00F40495"/>
    <w:rsid w:val="00F417BC"/>
    <w:rsid w:val="00F42BF3"/>
    <w:rsid w:val="00F449F5"/>
    <w:rsid w:val="00F44E12"/>
    <w:rsid w:val="00F44ED5"/>
    <w:rsid w:val="00F450F1"/>
    <w:rsid w:val="00F4596B"/>
    <w:rsid w:val="00F51643"/>
    <w:rsid w:val="00F528E0"/>
    <w:rsid w:val="00F53F9A"/>
    <w:rsid w:val="00F545D6"/>
    <w:rsid w:val="00F547D2"/>
    <w:rsid w:val="00F56033"/>
    <w:rsid w:val="00F56C7D"/>
    <w:rsid w:val="00F56C9C"/>
    <w:rsid w:val="00F56CC3"/>
    <w:rsid w:val="00F57F42"/>
    <w:rsid w:val="00F60E48"/>
    <w:rsid w:val="00F612C8"/>
    <w:rsid w:val="00F61606"/>
    <w:rsid w:val="00F61C6A"/>
    <w:rsid w:val="00F62242"/>
    <w:rsid w:val="00F62AC3"/>
    <w:rsid w:val="00F64941"/>
    <w:rsid w:val="00F65675"/>
    <w:rsid w:val="00F6583D"/>
    <w:rsid w:val="00F65C86"/>
    <w:rsid w:val="00F66EBC"/>
    <w:rsid w:val="00F70209"/>
    <w:rsid w:val="00F7308E"/>
    <w:rsid w:val="00F745DF"/>
    <w:rsid w:val="00F755C8"/>
    <w:rsid w:val="00F755E2"/>
    <w:rsid w:val="00F8114C"/>
    <w:rsid w:val="00F81357"/>
    <w:rsid w:val="00F813BF"/>
    <w:rsid w:val="00F81B5C"/>
    <w:rsid w:val="00F81CAD"/>
    <w:rsid w:val="00F81E65"/>
    <w:rsid w:val="00F8306E"/>
    <w:rsid w:val="00F84D6D"/>
    <w:rsid w:val="00F84DCC"/>
    <w:rsid w:val="00F875CA"/>
    <w:rsid w:val="00F87E5C"/>
    <w:rsid w:val="00F9010E"/>
    <w:rsid w:val="00F913AF"/>
    <w:rsid w:val="00F915D7"/>
    <w:rsid w:val="00F9192D"/>
    <w:rsid w:val="00F91B13"/>
    <w:rsid w:val="00F91EAE"/>
    <w:rsid w:val="00F921D6"/>
    <w:rsid w:val="00F934C6"/>
    <w:rsid w:val="00F943E3"/>
    <w:rsid w:val="00F95C7D"/>
    <w:rsid w:val="00F9628C"/>
    <w:rsid w:val="00F96739"/>
    <w:rsid w:val="00F96B65"/>
    <w:rsid w:val="00FA0042"/>
    <w:rsid w:val="00FA0B66"/>
    <w:rsid w:val="00FA2BD7"/>
    <w:rsid w:val="00FA3317"/>
    <w:rsid w:val="00FA43EF"/>
    <w:rsid w:val="00FA4BE3"/>
    <w:rsid w:val="00FA7804"/>
    <w:rsid w:val="00FA7E95"/>
    <w:rsid w:val="00FB0562"/>
    <w:rsid w:val="00FC0056"/>
    <w:rsid w:val="00FC0A45"/>
    <w:rsid w:val="00FC0CC5"/>
    <w:rsid w:val="00FC1EAB"/>
    <w:rsid w:val="00FC2CBF"/>
    <w:rsid w:val="00FC3574"/>
    <w:rsid w:val="00FC47A7"/>
    <w:rsid w:val="00FC482F"/>
    <w:rsid w:val="00FC630C"/>
    <w:rsid w:val="00FC65F3"/>
    <w:rsid w:val="00FC6CDB"/>
    <w:rsid w:val="00FC7674"/>
    <w:rsid w:val="00FD04E1"/>
    <w:rsid w:val="00FD2765"/>
    <w:rsid w:val="00FD2913"/>
    <w:rsid w:val="00FD3235"/>
    <w:rsid w:val="00FD418A"/>
    <w:rsid w:val="00FD4F0F"/>
    <w:rsid w:val="00FD5294"/>
    <w:rsid w:val="00FD682B"/>
    <w:rsid w:val="00FD696A"/>
    <w:rsid w:val="00FD71F7"/>
    <w:rsid w:val="00FD7FEA"/>
    <w:rsid w:val="00FE00DD"/>
    <w:rsid w:val="00FE1F3C"/>
    <w:rsid w:val="00FE21C9"/>
    <w:rsid w:val="00FE22E9"/>
    <w:rsid w:val="00FE3682"/>
    <w:rsid w:val="00FE384B"/>
    <w:rsid w:val="00FE3BD0"/>
    <w:rsid w:val="00FE594E"/>
    <w:rsid w:val="00FE59C3"/>
    <w:rsid w:val="00FE5BF9"/>
    <w:rsid w:val="00FE6764"/>
    <w:rsid w:val="00FE780F"/>
    <w:rsid w:val="00FF0A6A"/>
    <w:rsid w:val="00FF0B6C"/>
    <w:rsid w:val="00FF238C"/>
    <w:rsid w:val="00FF263C"/>
    <w:rsid w:val="00FF2CDE"/>
    <w:rsid w:val="00FF349C"/>
    <w:rsid w:val="00FF67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afterLines="50" w:line="400" w:lineRule="exact"/>
        <w:ind w:firstLineChars="150" w:firstLine="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5A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65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156511"/>
    <w:rPr>
      <w:sz w:val="18"/>
      <w:szCs w:val="18"/>
    </w:rPr>
  </w:style>
  <w:style w:type="paragraph" w:styleId="a4">
    <w:name w:val="footer"/>
    <w:basedOn w:val="a"/>
    <w:link w:val="Char0"/>
    <w:uiPriority w:val="99"/>
    <w:semiHidden/>
    <w:unhideWhenUsed/>
    <w:rsid w:val="0015651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156511"/>
    <w:rPr>
      <w:sz w:val="18"/>
      <w:szCs w:val="18"/>
    </w:rPr>
  </w:style>
</w:styles>
</file>

<file path=word/webSettings.xml><?xml version="1.0" encoding="utf-8"?>
<w:webSettings xmlns:r="http://schemas.openxmlformats.org/officeDocument/2006/relationships" xmlns:w="http://schemas.openxmlformats.org/wordprocessingml/2006/main">
  <w:divs>
    <w:div w:id="1155755203">
      <w:bodyDiv w:val="1"/>
      <w:marLeft w:val="0"/>
      <w:marRight w:val="0"/>
      <w:marTop w:val="0"/>
      <w:marBottom w:val="0"/>
      <w:divBdr>
        <w:top w:val="none" w:sz="0" w:space="0" w:color="auto"/>
        <w:left w:val="none" w:sz="0" w:space="0" w:color="auto"/>
        <w:bottom w:val="none" w:sz="0" w:space="0" w:color="auto"/>
        <w:right w:val="none" w:sz="0" w:space="0" w:color="auto"/>
      </w:divBdr>
      <w:divsChild>
        <w:div w:id="648939662">
          <w:marLeft w:val="0"/>
          <w:marRight w:val="0"/>
          <w:marTop w:val="0"/>
          <w:marBottom w:val="0"/>
          <w:divBdr>
            <w:top w:val="none" w:sz="0" w:space="0" w:color="auto"/>
            <w:left w:val="none" w:sz="0" w:space="0" w:color="auto"/>
            <w:bottom w:val="none" w:sz="0" w:space="0" w:color="auto"/>
            <w:right w:val="none" w:sz="0" w:space="0" w:color="auto"/>
          </w:divBdr>
        </w:div>
        <w:div w:id="698360100">
          <w:marLeft w:val="0"/>
          <w:marRight w:val="0"/>
          <w:marTop w:val="0"/>
          <w:marBottom w:val="0"/>
          <w:divBdr>
            <w:top w:val="none" w:sz="0" w:space="0" w:color="auto"/>
            <w:left w:val="none" w:sz="0" w:space="0" w:color="auto"/>
            <w:bottom w:val="none" w:sz="0" w:space="0" w:color="auto"/>
            <w:right w:val="none" w:sz="0" w:space="0" w:color="auto"/>
          </w:divBdr>
        </w:div>
        <w:div w:id="209685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2</cp:revision>
  <dcterms:created xsi:type="dcterms:W3CDTF">2015-06-09T03:03:00Z</dcterms:created>
  <dcterms:modified xsi:type="dcterms:W3CDTF">2015-06-09T03:41:00Z</dcterms:modified>
</cp:coreProperties>
</file>